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B7C" w:rsidRPr="001274AB" w:rsidRDefault="00E25B90" w:rsidP="00377AB9">
      <w:pPr>
        <w:spacing w:before="4000"/>
        <w:jc w:val="center"/>
        <w:rPr>
          <w:rFonts w:ascii="Times New Roman" w:hAnsi="Times New Roman" w:cs="Times New Roman"/>
          <w:b/>
          <w:bCs/>
          <w:sz w:val="52"/>
          <w:szCs w:val="52"/>
        </w:rPr>
      </w:pPr>
      <w:r w:rsidRPr="001274AB">
        <w:rPr>
          <w:rFonts w:ascii="Times New Roman" w:hAnsi="Times New Roman" w:cs="Times New Roman"/>
          <w:noProof/>
          <w:lang w:eastAsia="hu-HU"/>
        </w:rPr>
        <w:drawing>
          <wp:anchor distT="0" distB="0" distL="114300" distR="114300" simplePos="0" relativeHeight="251659264" behindDoc="1" locked="0" layoutInCell="1" allowOverlap="1">
            <wp:simplePos x="0" y="0"/>
            <wp:positionH relativeFrom="column">
              <wp:posOffset>1249680</wp:posOffset>
            </wp:positionH>
            <wp:positionV relativeFrom="paragraph">
              <wp:posOffset>489617</wp:posOffset>
            </wp:positionV>
            <wp:extent cx="3180858" cy="1270660"/>
            <wp:effectExtent l="0" t="0" r="0" b="0"/>
            <wp:wrapNone/>
            <wp:docPr id="1134054564" name="Kép 1" descr="A képen Betűtípus, szimbólum,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54564" name="Kép 1" descr="A képen Betűtípus, szimbólum, Grafika, embléma látható&#10;&#10;Automatikusan generált leírás"/>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180858" cy="1270660"/>
                    </a:xfrm>
                    <a:prstGeom prst="rect">
                      <a:avLst/>
                    </a:prstGeom>
                  </pic:spPr>
                </pic:pic>
              </a:graphicData>
            </a:graphic>
          </wp:anchor>
        </w:drawing>
      </w:r>
      <w:r w:rsidR="0041202A" w:rsidRPr="001274AB">
        <w:rPr>
          <w:rFonts w:ascii="Times New Roman" w:hAnsi="Times New Roman" w:cs="Times New Roman"/>
          <w:b/>
          <w:bCs/>
          <w:sz w:val="52"/>
          <w:szCs w:val="52"/>
        </w:rPr>
        <w:t>Eljárási rend SFDR rendelet végrehajtásáról</w:t>
      </w:r>
    </w:p>
    <w:p w:rsidR="002B41E5" w:rsidRPr="001274AB" w:rsidRDefault="002B41E5" w:rsidP="004D1D34">
      <w:pPr>
        <w:spacing w:before="3500"/>
        <w:rPr>
          <w:rFonts w:ascii="Times New Roman" w:hAnsi="Times New Roman" w:cs="Times New Roman"/>
          <w:b/>
          <w:bCs/>
          <w:sz w:val="52"/>
          <w:szCs w:val="52"/>
        </w:rPr>
      </w:pPr>
    </w:p>
    <w:p w:rsidR="00377AB9" w:rsidRPr="001274AB" w:rsidRDefault="00396F6F" w:rsidP="00377AB9">
      <w:pPr>
        <w:jc w:val="center"/>
        <w:rPr>
          <w:rFonts w:ascii="Times New Roman" w:hAnsi="Times New Roman" w:cs="Times New Roman"/>
          <w:sz w:val="48"/>
          <w:szCs w:val="48"/>
        </w:rPr>
      </w:pPr>
      <w:r w:rsidRPr="001274AB">
        <w:rPr>
          <w:rFonts w:ascii="Times New Roman" w:hAnsi="Times New Roman" w:cs="Times New Roman"/>
          <w:sz w:val="48"/>
          <w:szCs w:val="48"/>
        </w:rPr>
        <w:t xml:space="preserve">a </w:t>
      </w:r>
      <w:r w:rsidR="00377AB9" w:rsidRPr="001274AB">
        <w:rPr>
          <w:rFonts w:ascii="Times New Roman" w:hAnsi="Times New Roman" w:cs="Times New Roman"/>
          <w:sz w:val="48"/>
          <w:szCs w:val="48"/>
        </w:rPr>
        <w:t>GranBróker Kft.</w:t>
      </w:r>
    </w:p>
    <w:p w:rsidR="004D1D34" w:rsidRPr="001274AB" w:rsidRDefault="00377AB9" w:rsidP="00950F8E">
      <w:pPr>
        <w:jc w:val="center"/>
        <w:rPr>
          <w:rFonts w:ascii="Times New Roman" w:hAnsi="Times New Roman" w:cs="Times New Roman"/>
          <w:sz w:val="48"/>
          <w:szCs w:val="48"/>
        </w:rPr>
      </w:pPr>
      <w:r w:rsidRPr="001274AB">
        <w:rPr>
          <w:rFonts w:ascii="Times New Roman" w:hAnsi="Times New Roman" w:cs="Times New Roman"/>
          <w:sz w:val="48"/>
          <w:szCs w:val="48"/>
        </w:rPr>
        <w:t>független biztosításközvetítő</w:t>
      </w:r>
      <w:r w:rsidR="00950F8E" w:rsidRPr="001274AB">
        <w:rPr>
          <w:rFonts w:ascii="Times New Roman" w:hAnsi="Times New Roman" w:cs="Times New Roman"/>
          <w:sz w:val="48"/>
          <w:szCs w:val="48"/>
        </w:rPr>
        <w:t xml:space="preserve"> részére</w:t>
      </w:r>
    </w:p>
    <w:p w:rsidR="004D1D34" w:rsidRPr="001274AB" w:rsidRDefault="004D1D34" w:rsidP="00377AB9">
      <w:pPr>
        <w:jc w:val="center"/>
        <w:rPr>
          <w:rFonts w:ascii="Times New Roman" w:hAnsi="Times New Roman" w:cs="Times New Roman"/>
          <w:sz w:val="52"/>
          <w:szCs w:val="52"/>
        </w:rPr>
      </w:pPr>
    </w:p>
    <w:p w:rsidR="0070590F" w:rsidRPr="001274AB" w:rsidRDefault="004D1D34" w:rsidP="0069175D">
      <w:pPr>
        <w:jc w:val="center"/>
        <w:rPr>
          <w:rFonts w:ascii="Times New Roman" w:hAnsi="Times New Roman" w:cs="Times New Roman"/>
          <w:sz w:val="28"/>
          <w:szCs w:val="28"/>
        </w:rPr>
      </w:pPr>
      <w:r w:rsidRPr="001274AB">
        <w:rPr>
          <w:rFonts w:ascii="Times New Roman" w:hAnsi="Times New Roman" w:cs="Times New Roman"/>
          <w:sz w:val="28"/>
          <w:szCs w:val="28"/>
        </w:rPr>
        <w:t>Hatályos 202</w:t>
      </w:r>
      <w:r w:rsidR="00193C46" w:rsidRPr="001274AB">
        <w:rPr>
          <w:rFonts w:ascii="Times New Roman" w:hAnsi="Times New Roman" w:cs="Times New Roman"/>
          <w:sz w:val="28"/>
          <w:szCs w:val="28"/>
        </w:rPr>
        <w:t>6</w:t>
      </w:r>
      <w:r w:rsidRPr="001274AB">
        <w:rPr>
          <w:rFonts w:ascii="Times New Roman" w:hAnsi="Times New Roman" w:cs="Times New Roman"/>
          <w:sz w:val="28"/>
          <w:szCs w:val="28"/>
        </w:rPr>
        <w:t xml:space="preserve">. </w:t>
      </w:r>
      <w:r w:rsidR="00193C46" w:rsidRPr="001274AB">
        <w:rPr>
          <w:rFonts w:ascii="Times New Roman" w:hAnsi="Times New Roman" w:cs="Times New Roman"/>
          <w:sz w:val="28"/>
          <w:szCs w:val="28"/>
        </w:rPr>
        <w:t>06.0</w:t>
      </w:r>
      <w:r w:rsidR="00735C68">
        <w:rPr>
          <w:rFonts w:ascii="Times New Roman" w:hAnsi="Times New Roman" w:cs="Times New Roman"/>
          <w:sz w:val="28"/>
          <w:szCs w:val="28"/>
        </w:rPr>
        <w:t>9.</w:t>
      </w:r>
    </w:p>
    <w:p w:rsidR="0070590F" w:rsidRPr="001274AB" w:rsidRDefault="0070590F">
      <w:pPr>
        <w:rPr>
          <w:rFonts w:ascii="Times New Roman" w:hAnsi="Times New Roman" w:cs="Times New Roman"/>
          <w:sz w:val="28"/>
          <w:szCs w:val="28"/>
        </w:rPr>
      </w:pPr>
      <w:r w:rsidRPr="001274AB">
        <w:rPr>
          <w:rFonts w:ascii="Times New Roman" w:hAnsi="Times New Roman" w:cs="Times New Roman"/>
          <w:sz w:val="28"/>
          <w:szCs w:val="28"/>
        </w:rPr>
        <w:br w:type="page"/>
      </w:r>
    </w:p>
    <w:p w:rsidR="0069175D" w:rsidRPr="001274AB" w:rsidRDefault="0069175D" w:rsidP="0069175D">
      <w:pPr>
        <w:jc w:val="center"/>
        <w:rPr>
          <w:rFonts w:ascii="Times New Roman" w:hAnsi="Times New Roman" w:cs="Times New Roman"/>
          <w:sz w:val="28"/>
          <w:szCs w:val="28"/>
        </w:rPr>
      </w:pPr>
    </w:p>
    <w:p w:rsidR="008A55AD" w:rsidRPr="001274AB" w:rsidRDefault="008A55AD" w:rsidP="0069175D">
      <w:pPr>
        <w:jc w:val="center"/>
        <w:rPr>
          <w:rFonts w:ascii="Times New Roman" w:hAnsi="Times New Roman" w:cs="Times New Roman"/>
          <w:sz w:val="28"/>
          <w:szCs w:val="28"/>
        </w:rPr>
      </w:pPr>
    </w:p>
    <w:bookmarkStart w:id="0" w:name="_Toc174454778" w:displacedByCustomXml="next"/>
    <w:bookmarkStart w:id="1" w:name="_Toc174028355" w:displacedByCustomXml="next"/>
    <w:sdt>
      <w:sdtPr>
        <w:rPr>
          <w:rFonts w:ascii="Times New Roman" w:eastAsiaTheme="minorHAnsi" w:hAnsi="Times New Roman" w:cs="Times New Roman"/>
          <w:b w:val="0"/>
          <w:bCs w:val="0"/>
          <w:color w:val="auto"/>
          <w:kern w:val="2"/>
          <w:sz w:val="34"/>
          <w:szCs w:val="34"/>
          <w:lang w:eastAsia="en-US"/>
        </w:rPr>
        <w:id w:val="7417732"/>
        <w:docPartObj>
          <w:docPartGallery w:val="Table of Contents"/>
          <w:docPartUnique/>
        </w:docPartObj>
      </w:sdtPr>
      <w:sdtEndPr>
        <w:rPr>
          <w:noProof/>
          <w:sz w:val="38"/>
          <w:szCs w:val="38"/>
        </w:rPr>
      </w:sdtEndPr>
      <w:sdtContent>
        <w:p w:rsidR="00346447" w:rsidRPr="001274AB" w:rsidRDefault="00346447">
          <w:pPr>
            <w:pStyle w:val="Tartalomjegyzkcmsora"/>
            <w:rPr>
              <w:rFonts w:ascii="Times New Roman" w:hAnsi="Times New Roman" w:cs="Times New Roman"/>
              <w:sz w:val="40"/>
              <w:szCs w:val="40"/>
            </w:rPr>
          </w:pPr>
          <w:r w:rsidRPr="001274AB">
            <w:rPr>
              <w:rFonts w:ascii="Times New Roman" w:hAnsi="Times New Roman" w:cs="Times New Roman"/>
              <w:sz w:val="40"/>
              <w:szCs w:val="40"/>
            </w:rPr>
            <w:t>Tartalomjegyzék</w:t>
          </w:r>
        </w:p>
        <w:p w:rsidR="003A6F16" w:rsidRDefault="007B6095">
          <w:pPr>
            <w:pStyle w:val="TJ1"/>
            <w:tabs>
              <w:tab w:val="right" w:leader="dot" w:pos="9062"/>
            </w:tabs>
            <w:rPr>
              <w:rFonts w:eastAsiaTheme="minorEastAsia"/>
              <w:b w:val="0"/>
              <w:bCs w:val="0"/>
              <w:noProof/>
              <w:kern w:val="0"/>
              <w:sz w:val="22"/>
              <w:szCs w:val="22"/>
              <w:lang w:eastAsia="hu-HU"/>
            </w:rPr>
          </w:pPr>
          <w:r w:rsidRPr="007B6095">
            <w:rPr>
              <w:rFonts w:ascii="Times New Roman" w:hAnsi="Times New Roman" w:cs="Times New Roman"/>
              <w:b w:val="0"/>
              <w:bCs w:val="0"/>
              <w:sz w:val="34"/>
              <w:szCs w:val="34"/>
            </w:rPr>
            <w:fldChar w:fldCharType="begin"/>
          </w:r>
          <w:r w:rsidR="00346447" w:rsidRPr="001274AB">
            <w:rPr>
              <w:rFonts w:ascii="Times New Roman" w:hAnsi="Times New Roman" w:cs="Times New Roman"/>
              <w:sz w:val="34"/>
              <w:szCs w:val="34"/>
            </w:rPr>
            <w:instrText>TOC \o "1-3" \h \z \u</w:instrText>
          </w:r>
          <w:r w:rsidRPr="007B6095">
            <w:rPr>
              <w:rFonts w:ascii="Times New Roman" w:hAnsi="Times New Roman" w:cs="Times New Roman"/>
              <w:b w:val="0"/>
              <w:bCs w:val="0"/>
              <w:sz w:val="34"/>
              <w:szCs w:val="34"/>
            </w:rPr>
            <w:fldChar w:fldCharType="separate"/>
          </w:r>
          <w:bookmarkStart w:id="2" w:name="_GoBack"/>
          <w:bookmarkEnd w:id="2"/>
          <w:r w:rsidRPr="00101D44">
            <w:rPr>
              <w:rStyle w:val="Hiperhivatkozs"/>
              <w:noProof/>
            </w:rPr>
            <w:fldChar w:fldCharType="begin"/>
          </w:r>
          <w:r w:rsidR="003A6F16" w:rsidRPr="00101D44">
            <w:rPr>
              <w:rStyle w:val="Hiperhivatkozs"/>
              <w:noProof/>
            </w:rPr>
            <w:instrText xml:space="preserve"> </w:instrText>
          </w:r>
          <w:r w:rsidR="003A6F16">
            <w:rPr>
              <w:noProof/>
            </w:rPr>
            <w:instrText>HYPERLINK \l "_Toc231908631"</w:instrText>
          </w:r>
          <w:r w:rsidR="003A6F16" w:rsidRPr="00101D44">
            <w:rPr>
              <w:rStyle w:val="Hiperhivatkozs"/>
              <w:noProof/>
            </w:rPr>
            <w:instrText xml:space="preserve"> </w:instrText>
          </w:r>
          <w:r w:rsidRPr="00101D44">
            <w:rPr>
              <w:rStyle w:val="Hiperhivatkozs"/>
              <w:noProof/>
            </w:rPr>
            <w:fldChar w:fldCharType="separate"/>
          </w:r>
          <w:r w:rsidR="003A6F16" w:rsidRPr="00101D44">
            <w:rPr>
              <w:rStyle w:val="Hiperhivatkozs"/>
              <w:rFonts w:ascii="Times New Roman" w:hAnsi="Times New Roman" w:cs="Times New Roman"/>
              <w:noProof/>
            </w:rPr>
            <w:t>A szabályzat célja és rendeltetése</w:t>
          </w:r>
          <w:r w:rsidR="003A6F16">
            <w:rPr>
              <w:noProof/>
              <w:webHidden/>
            </w:rPr>
            <w:tab/>
          </w:r>
          <w:r>
            <w:rPr>
              <w:noProof/>
              <w:webHidden/>
            </w:rPr>
            <w:fldChar w:fldCharType="begin"/>
          </w:r>
          <w:r w:rsidR="003A6F16">
            <w:rPr>
              <w:noProof/>
              <w:webHidden/>
            </w:rPr>
            <w:instrText xml:space="preserve"> PAGEREF _Toc231908631 \h </w:instrText>
          </w:r>
          <w:r>
            <w:rPr>
              <w:noProof/>
              <w:webHidden/>
            </w:rPr>
          </w:r>
          <w:r>
            <w:rPr>
              <w:noProof/>
              <w:webHidden/>
            </w:rPr>
            <w:fldChar w:fldCharType="separate"/>
          </w:r>
          <w:r w:rsidR="003A6F16">
            <w:rPr>
              <w:noProof/>
              <w:webHidden/>
            </w:rPr>
            <w:t>3</w:t>
          </w:r>
          <w:r>
            <w:rPr>
              <w:noProof/>
              <w:webHidden/>
            </w:rPr>
            <w:fldChar w:fldCharType="end"/>
          </w:r>
          <w:r w:rsidRPr="00101D44">
            <w:rPr>
              <w:rStyle w:val="Hiperhivatkozs"/>
              <w:noProof/>
            </w:rPr>
            <w:fldChar w:fldCharType="end"/>
          </w:r>
        </w:p>
        <w:p w:rsidR="003A6F16" w:rsidRDefault="007B6095">
          <w:pPr>
            <w:pStyle w:val="TJ1"/>
            <w:tabs>
              <w:tab w:val="right" w:leader="dot" w:pos="9062"/>
            </w:tabs>
            <w:rPr>
              <w:rFonts w:eastAsiaTheme="minorEastAsia"/>
              <w:b w:val="0"/>
              <w:bCs w:val="0"/>
              <w:noProof/>
              <w:kern w:val="0"/>
              <w:sz w:val="22"/>
              <w:szCs w:val="22"/>
              <w:lang w:eastAsia="hu-HU"/>
            </w:rPr>
          </w:pPr>
          <w:hyperlink w:anchor="_Toc231908632" w:history="1">
            <w:r w:rsidR="003A6F16" w:rsidRPr="00101D44">
              <w:rPr>
                <w:rStyle w:val="Hiperhivatkozs"/>
                <w:rFonts w:ascii="Times New Roman" w:hAnsi="Times New Roman" w:cs="Times New Roman"/>
                <w:noProof/>
              </w:rPr>
              <w:t>Jogszabályi háttér</w:t>
            </w:r>
            <w:r w:rsidR="003A6F16">
              <w:rPr>
                <w:noProof/>
                <w:webHidden/>
              </w:rPr>
              <w:tab/>
            </w:r>
            <w:r>
              <w:rPr>
                <w:noProof/>
                <w:webHidden/>
              </w:rPr>
              <w:fldChar w:fldCharType="begin"/>
            </w:r>
            <w:r w:rsidR="003A6F16">
              <w:rPr>
                <w:noProof/>
                <w:webHidden/>
              </w:rPr>
              <w:instrText xml:space="preserve"> PAGEREF _Toc231908632 \h </w:instrText>
            </w:r>
            <w:r>
              <w:rPr>
                <w:noProof/>
                <w:webHidden/>
              </w:rPr>
            </w:r>
            <w:r>
              <w:rPr>
                <w:noProof/>
                <w:webHidden/>
              </w:rPr>
              <w:fldChar w:fldCharType="separate"/>
            </w:r>
            <w:r w:rsidR="003A6F16">
              <w:rPr>
                <w:noProof/>
                <w:webHidden/>
              </w:rPr>
              <w:t>3</w:t>
            </w:r>
            <w:r>
              <w:rPr>
                <w:noProof/>
                <w:webHidden/>
              </w:rPr>
              <w:fldChar w:fldCharType="end"/>
            </w:r>
          </w:hyperlink>
        </w:p>
        <w:p w:rsidR="003A6F16" w:rsidRDefault="007B6095">
          <w:pPr>
            <w:pStyle w:val="TJ1"/>
            <w:tabs>
              <w:tab w:val="right" w:leader="dot" w:pos="9062"/>
            </w:tabs>
            <w:rPr>
              <w:rFonts w:eastAsiaTheme="minorEastAsia"/>
              <w:b w:val="0"/>
              <w:bCs w:val="0"/>
              <w:noProof/>
              <w:kern w:val="0"/>
              <w:sz w:val="22"/>
              <w:szCs w:val="22"/>
              <w:lang w:eastAsia="hu-HU"/>
            </w:rPr>
          </w:pPr>
          <w:hyperlink w:anchor="_Toc231908633" w:history="1">
            <w:r w:rsidR="003A6F16" w:rsidRPr="00101D44">
              <w:rPr>
                <w:rStyle w:val="Hiperhivatkozs"/>
                <w:rFonts w:ascii="Times New Roman" w:hAnsi="Times New Roman" w:cs="Times New Roman"/>
                <w:noProof/>
              </w:rPr>
              <w:t>Személyi és szervezeti hatály</w:t>
            </w:r>
            <w:r w:rsidR="003A6F16">
              <w:rPr>
                <w:noProof/>
                <w:webHidden/>
              </w:rPr>
              <w:tab/>
            </w:r>
            <w:r>
              <w:rPr>
                <w:noProof/>
                <w:webHidden/>
              </w:rPr>
              <w:fldChar w:fldCharType="begin"/>
            </w:r>
            <w:r w:rsidR="003A6F16">
              <w:rPr>
                <w:noProof/>
                <w:webHidden/>
              </w:rPr>
              <w:instrText xml:space="preserve"> PAGEREF _Toc231908633 \h </w:instrText>
            </w:r>
            <w:r>
              <w:rPr>
                <w:noProof/>
                <w:webHidden/>
              </w:rPr>
            </w:r>
            <w:r>
              <w:rPr>
                <w:noProof/>
                <w:webHidden/>
              </w:rPr>
              <w:fldChar w:fldCharType="separate"/>
            </w:r>
            <w:r w:rsidR="003A6F16">
              <w:rPr>
                <w:noProof/>
                <w:webHidden/>
              </w:rPr>
              <w:t>3</w:t>
            </w:r>
            <w:r>
              <w:rPr>
                <w:noProof/>
                <w:webHidden/>
              </w:rPr>
              <w:fldChar w:fldCharType="end"/>
            </w:r>
          </w:hyperlink>
        </w:p>
        <w:p w:rsidR="003A6F16" w:rsidRDefault="007B6095">
          <w:pPr>
            <w:pStyle w:val="TJ1"/>
            <w:tabs>
              <w:tab w:val="right" w:leader="dot" w:pos="9062"/>
            </w:tabs>
            <w:rPr>
              <w:rFonts w:eastAsiaTheme="minorEastAsia"/>
              <w:b w:val="0"/>
              <w:bCs w:val="0"/>
              <w:noProof/>
              <w:kern w:val="0"/>
              <w:sz w:val="22"/>
              <w:szCs w:val="22"/>
              <w:lang w:eastAsia="hu-HU"/>
            </w:rPr>
          </w:pPr>
          <w:hyperlink w:anchor="_Toc231908634" w:history="1">
            <w:r w:rsidR="003A6F16" w:rsidRPr="00101D44">
              <w:rPr>
                <w:rStyle w:val="Hiperhivatkozs"/>
                <w:rFonts w:ascii="Times New Roman" w:hAnsi="Times New Roman" w:cs="Times New Roman"/>
                <w:noProof/>
              </w:rPr>
              <w:t>Tárgyi hatály</w:t>
            </w:r>
            <w:r w:rsidR="003A6F16">
              <w:rPr>
                <w:noProof/>
                <w:webHidden/>
              </w:rPr>
              <w:tab/>
            </w:r>
            <w:r>
              <w:rPr>
                <w:noProof/>
                <w:webHidden/>
              </w:rPr>
              <w:fldChar w:fldCharType="begin"/>
            </w:r>
            <w:r w:rsidR="003A6F16">
              <w:rPr>
                <w:noProof/>
                <w:webHidden/>
              </w:rPr>
              <w:instrText xml:space="preserve"> PAGEREF _Toc231908634 \h </w:instrText>
            </w:r>
            <w:r>
              <w:rPr>
                <w:noProof/>
                <w:webHidden/>
              </w:rPr>
            </w:r>
            <w:r>
              <w:rPr>
                <w:noProof/>
                <w:webHidden/>
              </w:rPr>
              <w:fldChar w:fldCharType="separate"/>
            </w:r>
            <w:r w:rsidR="003A6F16">
              <w:rPr>
                <w:noProof/>
                <w:webHidden/>
              </w:rPr>
              <w:t>3</w:t>
            </w:r>
            <w:r>
              <w:rPr>
                <w:noProof/>
                <w:webHidden/>
              </w:rPr>
              <w:fldChar w:fldCharType="end"/>
            </w:r>
          </w:hyperlink>
        </w:p>
        <w:p w:rsidR="003A6F16" w:rsidRDefault="007B6095">
          <w:pPr>
            <w:pStyle w:val="TJ1"/>
            <w:tabs>
              <w:tab w:val="right" w:leader="dot" w:pos="9062"/>
            </w:tabs>
            <w:rPr>
              <w:rFonts w:eastAsiaTheme="minorEastAsia"/>
              <w:b w:val="0"/>
              <w:bCs w:val="0"/>
              <w:noProof/>
              <w:kern w:val="0"/>
              <w:sz w:val="22"/>
              <w:szCs w:val="22"/>
              <w:lang w:eastAsia="hu-HU"/>
            </w:rPr>
          </w:pPr>
          <w:hyperlink w:anchor="_Toc231908635" w:history="1">
            <w:r w:rsidR="003A6F16" w:rsidRPr="00101D44">
              <w:rPr>
                <w:rStyle w:val="Hiperhivatkozs"/>
                <w:rFonts w:ascii="Times New Roman" w:hAnsi="Times New Roman" w:cs="Times New Roman"/>
                <w:noProof/>
              </w:rPr>
              <w:t>Jogszabály szereplői</w:t>
            </w:r>
            <w:r w:rsidR="003A6F16">
              <w:rPr>
                <w:noProof/>
                <w:webHidden/>
              </w:rPr>
              <w:tab/>
            </w:r>
            <w:r>
              <w:rPr>
                <w:noProof/>
                <w:webHidden/>
              </w:rPr>
              <w:fldChar w:fldCharType="begin"/>
            </w:r>
            <w:r w:rsidR="003A6F16">
              <w:rPr>
                <w:noProof/>
                <w:webHidden/>
              </w:rPr>
              <w:instrText xml:space="preserve"> PAGEREF _Toc231908635 \h </w:instrText>
            </w:r>
            <w:r>
              <w:rPr>
                <w:noProof/>
                <w:webHidden/>
              </w:rPr>
            </w:r>
            <w:r>
              <w:rPr>
                <w:noProof/>
                <w:webHidden/>
              </w:rPr>
              <w:fldChar w:fldCharType="separate"/>
            </w:r>
            <w:r w:rsidR="003A6F16">
              <w:rPr>
                <w:noProof/>
                <w:webHidden/>
              </w:rPr>
              <w:t>3</w:t>
            </w:r>
            <w:r>
              <w:rPr>
                <w:noProof/>
                <w:webHidden/>
              </w:rPr>
              <w:fldChar w:fldCharType="end"/>
            </w:r>
          </w:hyperlink>
        </w:p>
        <w:p w:rsidR="003A6F16" w:rsidRDefault="007B6095">
          <w:pPr>
            <w:pStyle w:val="TJ1"/>
            <w:tabs>
              <w:tab w:val="right" w:leader="dot" w:pos="9062"/>
            </w:tabs>
            <w:rPr>
              <w:rFonts w:eastAsiaTheme="minorEastAsia"/>
              <w:b w:val="0"/>
              <w:bCs w:val="0"/>
              <w:noProof/>
              <w:kern w:val="0"/>
              <w:sz w:val="22"/>
              <w:szCs w:val="22"/>
              <w:lang w:eastAsia="hu-HU"/>
            </w:rPr>
          </w:pPr>
          <w:hyperlink w:anchor="_Toc231908636" w:history="1">
            <w:r w:rsidR="003A6F16" w:rsidRPr="00101D44">
              <w:rPr>
                <w:rStyle w:val="Hiperhivatkozs"/>
                <w:rFonts w:ascii="Times New Roman" w:hAnsi="Times New Roman" w:cs="Times New Roman"/>
                <w:noProof/>
              </w:rPr>
              <w:t>Fogalmak</w:t>
            </w:r>
            <w:r w:rsidR="003A6F16">
              <w:rPr>
                <w:noProof/>
                <w:webHidden/>
              </w:rPr>
              <w:tab/>
            </w:r>
            <w:r>
              <w:rPr>
                <w:noProof/>
                <w:webHidden/>
              </w:rPr>
              <w:fldChar w:fldCharType="begin"/>
            </w:r>
            <w:r w:rsidR="003A6F16">
              <w:rPr>
                <w:noProof/>
                <w:webHidden/>
              </w:rPr>
              <w:instrText xml:space="preserve"> PAGEREF _Toc231908636 \h </w:instrText>
            </w:r>
            <w:r>
              <w:rPr>
                <w:noProof/>
                <w:webHidden/>
              </w:rPr>
            </w:r>
            <w:r>
              <w:rPr>
                <w:noProof/>
                <w:webHidden/>
              </w:rPr>
              <w:fldChar w:fldCharType="separate"/>
            </w:r>
            <w:r w:rsidR="003A6F16">
              <w:rPr>
                <w:noProof/>
                <w:webHidden/>
              </w:rPr>
              <w:t>4</w:t>
            </w:r>
            <w:r>
              <w:rPr>
                <w:noProof/>
                <w:webHidden/>
              </w:rPr>
              <w:fldChar w:fldCharType="end"/>
            </w:r>
          </w:hyperlink>
        </w:p>
        <w:p w:rsidR="003A6F16" w:rsidRDefault="007B6095">
          <w:pPr>
            <w:pStyle w:val="TJ1"/>
            <w:tabs>
              <w:tab w:val="right" w:leader="dot" w:pos="9062"/>
            </w:tabs>
            <w:rPr>
              <w:rFonts w:eastAsiaTheme="minorEastAsia"/>
              <w:b w:val="0"/>
              <w:bCs w:val="0"/>
              <w:noProof/>
              <w:kern w:val="0"/>
              <w:sz w:val="22"/>
              <w:szCs w:val="22"/>
              <w:lang w:eastAsia="hu-HU"/>
            </w:rPr>
          </w:pPr>
          <w:hyperlink w:anchor="_Toc231908637" w:history="1">
            <w:r w:rsidR="003A6F16" w:rsidRPr="00101D44">
              <w:rPr>
                <w:rStyle w:val="Hiperhivatkozs"/>
                <w:rFonts w:ascii="Times New Roman" w:hAnsi="Times New Roman" w:cs="Times New Roman"/>
                <w:noProof/>
              </w:rPr>
              <w:t>GranBróker Független Biztosításközvetítő Kft. tevékenysége</w:t>
            </w:r>
            <w:r w:rsidR="003A6F16">
              <w:rPr>
                <w:noProof/>
                <w:webHidden/>
              </w:rPr>
              <w:tab/>
            </w:r>
            <w:r>
              <w:rPr>
                <w:noProof/>
                <w:webHidden/>
              </w:rPr>
              <w:fldChar w:fldCharType="begin"/>
            </w:r>
            <w:r w:rsidR="003A6F16">
              <w:rPr>
                <w:noProof/>
                <w:webHidden/>
              </w:rPr>
              <w:instrText xml:space="preserve"> PAGEREF _Toc231908637 \h </w:instrText>
            </w:r>
            <w:r>
              <w:rPr>
                <w:noProof/>
                <w:webHidden/>
              </w:rPr>
            </w:r>
            <w:r>
              <w:rPr>
                <w:noProof/>
                <w:webHidden/>
              </w:rPr>
              <w:fldChar w:fldCharType="separate"/>
            </w:r>
            <w:r w:rsidR="003A6F16">
              <w:rPr>
                <w:noProof/>
                <w:webHidden/>
              </w:rPr>
              <w:t>4</w:t>
            </w:r>
            <w:r>
              <w:rPr>
                <w:noProof/>
                <w:webHidden/>
              </w:rPr>
              <w:fldChar w:fldCharType="end"/>
            </w:r>
          </w:hyperlink>
        </w:p>
        <w:p w:rsidR="003A6F16" w:rsidRDefault="007B6095">
          <w:pPr>
            <w:pStyle w:val="TJ1"/>
            <w:tabs>
              <w:tab w:val="right" w:leader="dot" w:pos="9062"/>
            </w:tabs>
            <w:rPr>
              <w:rFonts w:eastAsiaTheme="minorEastAsia"/>
              <w:b w:val="0"/>
              <w:bCs w:val="0"/>
              <w:noProof/>
              <w:kern w:val="0"/>
              <w:sz w:val="22"/>
              <w:szCs w:val="22"/>
              <w:lang w:eastAsia="hu-HU"/>
            </w:rPr>
          </w:pPr>
          <w:hyperlink w:anchor="_Toc231908638" w:history="1">
            <w:r w:rsidR="003A6F16" w:rsidRPr="00101D44">
              <w:rPr>
                <w:rStyle w:val="Hiperhivatkozs"/>
                <w:rFonts w:ascii="Times New Roman" w:hAnsi="Times New Roman" w:cs="Times New Roman"/>
                <w:noProof/>
              </w:rPr>
              <w:t>A fenntarthatóságra gyakorolt káros hatások kezelése ( SFDR 4.cikk)</w:t>
            </w:r>
            <w:r w:rsidR="003A6F16">
              <w:rPr>
                <w:noProof/>
                <w:webHidden/>
              </w:rPr>
              <w:tab/>
            </w:r>
            <w:r>
              <w:rPr>
                <w:noProof/>
                <w:webHidden/>
              </w:rPr>
              <w:fldChar w:fldCharType="begin"/>
            </w:r>
            <w:r w:rsidR="003A6F16">
              <w:rPr>
                <w:noProof/>
                <w:webHidden/>
              </w:rPr>
              <w:instrText xml:space="preserve"> PAGEREF _Toc231908638 \h </w:instrText>
            </w:r>
            <w:r>
              <w:rPr>
                <w:noProof/>
                <w:webHidden/>
              </w:rPr>
            </w:r>
            <w:r>
              <w:rPr>
                <w:noProof/>
                <w:webHidden/>
              </w:rPr>
              <w:fldChar w:fldCharType="separate"/>
            </w:r>
            <w:r w:rsidR="003A6F16">
              <w:rPr>
                <w:noProof/>
                <w:webHidden/>
              </w:rPr>
              <w:t>5</w:t>
            </w:r>
            <w:r>
              <w:rPr>
                <w:noProof/>
                <w:webHidden/>
              </w:rPr>
              <w:fldChar w:fldCharType="end"/>
            </w:r>
          </w:hyperlink>
        </w:p>
        <w:p w:rsidR="003A6F16" w:rsidRDefault="007B6095">
          <w:pPr>
            <w:pStyle w:val="TJ1"/>
            <w:tabs>
              <w:tab w:val="right" w:leader="dot" w:pos="9062"/>
            </w:tabs>
            <w:rPr>
              <w:rFonts w:eastAsiaTheme="minorEastAsia"/>
              <w:b w:val="0"/>
              <w:bCs w:val="0"/>
              <w:noProof/>
              <w:kern w:val="0"/>
              <w:sz w:val="22"/>
              <w:szCs w:val="22"/>
              <w:lang w:eastAsia="hu-HU"/>
            </w:rPr>
          </w:pPr>
          <w:hyperlink w:anchor="_Toc231908639" w:history="1">
            <w:r w:rsidR="003A6F16" w:rsidRPr="00101D44">
              <w:rPr>
                <w:rStyle w:val="Hiperhivatkozs"/>
                <w:rFonts w:ascii="Times New Roman" w:hAnsi="Times New Roman" w:cs="Times New Roman"/>
                <w:noProof/>
              </w:rPr>
              <w:t>Javadalmazási politika és fenntarthatóság (SFDR. 5. cikk)</w:t>
            </w:r>
            <w:r w:rsidR="003A6F16">
              <w:rPr>
                <w:noProof/>
                <w:webHidden/>
              </w:rPr>
              <w:tab/>
            </w:r>
            <w:r>
              <w:rPr>
                <w:noProof/>
                <w:webHidden/>
              </w:rPr>
              <w:fldChar w:fldCharType="begin"/>
            </w:r>
            <w:r w:rsidR="003A6F16">
              <w:rPr>
                <w:noProof/>
                <w:webHidden/>
              </w:rPr>
              <w:instrText xml:space="preserve"> PAGEREF _Toc231908639 \h </w:instrText>
            </w:r>
            <w:r>
              <w:rPr>
                <w:noProof/>
                <w:webHidden/>
              </w:rPr>
            </w:r>
            <w:r>
              <w:rPr>
                <w:noProof/>
                <w:webHidden/>
              </w:rPr>
              <w:fldChar w:fldCharType="separate"/>
            </w:r>
            <w:r w:rsidR="003A6F16">
              <w:rPr>
                <w:noProof/>
                <w:webHidden/>
              </w:rPr>
              <w:t>6</w:t>
            </w:r>
            <w:r>
              <w:rPr>
                <w:noProof/>
                <w:webHidden/>
              </w:rPr>
              <w:fldChar w:fldCharType="end"/>
            </w:r>
          </w:hyperlink>
        </w:p>
        <w:p w:rsidR="003A6F16" w:rsidRDefault="007B6095">
          <w:pPr>
            <w:pStyle w:val="TJ1"/>
            <w:tabs>
              <w:tab w:val="right" w:leader="dot" w:pos="9062"/>
            </w:tabs>
            <w:rPr>
              <w:rFonts w:eastAsiaTheme="minorEastAsia"/>
              <w:b w:val="0"/>
              <w:bCs w:val="0"/>
              <w:noProof/>
              <w:kern w:val="0"/>
              <w:sz w:val="22"/>
              <w:szCs w:val="22"/>
              <w:lang w:eastAsia="hu-HU"/>
            </w:rPr>
          </w:pPr>
          <w:hyperlink w:anchor="_Toc231908640" w:history="1">
            <w:r w:rsidR="003A6F16" w:rsidRPr="00101D44">
              <w:rPr>
                <w:rStyle w:val="Hiperhivatkozs"/>
                <w:rFonts w:ascii="Times New Roman" w:hAnsi="Times New Roman" w:cs="Times New Roman"/>
                <w:noProof/>
              </w:rPr>
              <w:t>Szerződéskötés előtti közzétételek – biztosításközvetítőkre vonatkozóan</w:t>
            </w:r>
            <w:r w:rsidR="003A6F16">
              <w:rPr>
                <w:noProof/>
                <w:webHidden/>
              </w:rPr>
              <w:tab/>
            </w:r>
            <w:r>
              <w:rPr>
                <w:noProof/>
                <w:webHidden/>
              </w:rPr>
              <w:fldChar w:fldCharType="begin"/>
            </w:r>
            <w:r w:rsidR="003A6F16">
              <w:rPr>
                <w:noProof/>
                <w:webHidden/>
              </w:rPr>
              <w:instrText xml:space="preserve"> PAGEREF _Toc231908640 \h </w:instrText>
            </w:r>
            <w:r>
              <w:rPr>
                <w:noProof/>
                <w:webHidden/>
              </w:rPr>
            </w:r>
            <w:r>
              <w:rPr>
                <w:noProof/>
                <w:webHidden/>
              </w:rPr>
              <w:fldChar w:fldCharType="separate"/>
            </w:r>
            <w:r w:rsidR="003A6F16">
              <w:rPr>
                <w:noProof/>
                <w:webHidden/>
              </w:rPr>
              <w:t>6</w:t>
            </w:r>
            <w:r>
              <w:rPr>
                <w:noProof/>
                <w:webHidden/>
              </w:rPr>
              <w:fldChar w:fldCharType="end"/>
            </w:r>
          </w:hyperlink>
        </w:p>
        <w:p w:rsidR="003A6F16" w:rsidRDefault="007B6095">
          <w:pPr>
            <w:pStyle w:val="TJ1"/>
            <w:tabs>
              <w:tab w:val="right" w:leader="dot" w:pos="9062"/>
            </w:tabs>
            <w:rPr>
              <w:rFonts w:eastAsiaTheme="minorEastAsia"/>
              <w:b w:val="0"/>
              <w:bCs w:val="0"/>
              <w:noProof/>
              <w:kern w:val="0"/>
              <w:sz w:val="22"/>
              <w:szCs w:val="22"/>
              <w:lang w:eastAsia="hu-HU"/>
            </w:rPr>
          </w:pPr>
          <w:hyperlink w:anchor="_Toc231908641" w:history="1">
            <w:r w:rsidR="003A6F16" w:rsidRPr="00101D44">
              <w:rPr>
                <w:rStyle w:val="Hiperhivatkozs"/>
                <w:rFonts w:ascii="Times New Roman" w:hAnsi="Times New Roman" w:cs="Times New Roman"/>
                <w:noProof/>
              </w:rPr>
              <w:t>Szerződéskötés előtti közzétételek – biztosítási termék eszközlapjaira vonatkozóan</w:t>
            </w:r>
            <w:r w:rsidR="003A6F16">
              <w:rPr>
                <w:noProof/>
                <w:webHidden/>
              </w:rPr>
              <w:tab/>
            </w:r>
            <w:r>
              <w:rPr>
                <w:noProof/>
                <w:webHidden/>
              </w:rPr>
              <w:fldChar w:fldCharType="begin"/>
            </w:r>
            <w:r w:rsidR="003A6F16">
              <w:rPr>
                <w:noProof/>
                <w:webHidden/>
              </w:rPr>
              <w:instrText xml:space="preserve"> PAGEREF _Toc231908641 \h </w:instrText>
            </w:r>
            <w:r>
              <w:rPr>
                <w:noProof/>
                <w:webHidden/>
              </w:rPr>
            </w:r>
            <w:r>
              <w:rPr>
                <w:noProof/>
                <w:webHidden/>
              </w:rPr>
              <w:fldChar w:fldCharType="separate"/>
            </w:r>
            <w:r w:rsidR="003A6F16">
              <w:rPr>
                <w:noProof/>
                <w:webHidden/>
              </w:rPr>
              <w:t>8</w:t>
            </w:r>
            <w:r>
              <w:rPr>
                <w:noProof/>
                <w:webHidden/>
              </w:rPr>
              <w:fldChar w:fldCharType="end"/>
            </w:r>
          </w:hyperlink>
        </w:p>
        <w:p w:rsidR="003A6F16" w:rsidRDefault="007B6095">
          <w:pPr>
            <w:pStyle w:val="TJ1"/>
            <w:tabs>
              <w:tab w:val="right" w:leader="dot" w:pos="9062"/>
            </w:tabs>
            <w:rPr>
              <w:rFonts w:eastAsiaTheme="minorEastAsia"/>
              <w:b w:val="0"/>
              <w:bCs w:val="0"/>
              <w:noProof/>
              <w:kern w:val="0"/>
              <w:sz w:val="22"/>
              <w:szCs w:val="22"/>
              <w:lang w:eastAsia="hu-HU"/>
            </w:rPr>
          </w:pPr>
          <w:hyperlink w:anchor="_Toc231908642" w:history="1">
            <w:r w:rsidR="003A6F16" w:rsidRPr="00101D44">
              <w:rPr>
                <w:rStyle w:val="Hiperhivatkozs"/>
                <w:rFonts w:ascii="Times New Roman" w:hAnsi="Times New Roman" w:cs="Times New Roman"/>
                <w:noProof/>
              </w:rPr>
              <w:t>Záró rendelkezések</w:t>
            </w:r>
            <w:r w:rsidR="003A6F16">
              <w:rPr>
                <w:noProof/>
                <w:webHidden/>
              </w:rPr>
              <w:tab/>
            </w:r>
            <w:r>
              <w:rPr>
                <w:noProof/>
                <w:webHidden/>
              </w:rPr>
              <w:fldChar w:fldCharType="begin"/>
            </w:r>
            <w:r w:rsidR="003A6F16">
              <w:rPr>
                <w:noProof/>
                <w:webHidden/>
              </w:rPr>
              <w:instrText xml:space="preserve"> PAGEREF _Toc231908642 \h </w:instrText>
            </w:r>
            <w:r>
              <w:rPr>
                <w:noProof/>
                <w:webHidden/>
              </w:rPr>
            </w:r>
            <w:r>
              <w:rPr>
                <w:noProof/>
                <w:webHidden/>
              </w:rPr>
              <w:fldChar w:fldCharType="separate"/>
            </w:r>
            <w:r w:rsidR="003A6F16">
              <w:rPr>
                <w:noProof/>
                <w:webHidden/>
              </w:rPr>
              <w:t>8</w:t>
            </w:r>
            <w:r>
              <w:rPr>
                <w:noProof/>
                <w:webHidden/>
              </w:rPr>
              <w:fldChar w:fldCharType="end"/>
            </w:r>
          </w:hyperlink>
        </w:p>
        <w:p w:rsidR="003A6F16" w:rsidRDefault="007B6095">
          <w:pPr>
            <w:pStyle w:val="TJ1"/>
            <w:tabs>
              <w:tab w:val="right" w:leader="dot" w:pos="9062"/>
            </w:tabs>
            <w:rPr>
              <w:rFonts w:eastAsiaTheme="minorEastAsia"/>
              <w:b w:val="0"/>
              <w:bCs w:val="0"/>
              <w:noProof/>
              <w:kern w:val="0"/>
              <w:sz w:val="22"/>
              <w:szCs w:val="22"/>
              <w:lang w:eastAsia="hu-HU"/>
            </w:rPr>
          </w:pPr>
          <w:hyperlink w:anchor="_Toc231908643" w:history="1">
            <w:r w:rsidR="003A6F16" w:rsidRPr="00101D44">
              <w:rPr>
                <w:rStyle w:val="Hiperhivatkozs"/>
                <w:rFonts w:ascii="Times New Roman" w:hAnsi="Times New Roman" w:cs="Times New Roman"/>
                <w:noProof/>
              </w:rPr>
              <w:t>1. sz. melléklet</w:t>
            </w:r>
            <w:r w:rsidR="003A6F16">
              <w:rPr>
                <w:noProof/>
                <w:webHidden/>
              </w:rPr>
              <w:tab/>
            </w:r>
            <w:r>
              <w:rPr>
                <w:noProof/>
                <w:webHidden/>
              </w:rPr>
              <w:fldChar w:fldCharType="begin"/>
            </w:r>
            <w:r w:rsidR="003A6F16">
              <w:rPr>
                <w:noProof/>
                <w:webHidden/>
              </w:rPr>
              <w:instrText xml:space="preserve"> PAGEREF _Toc231908643 \h </w:instrText>
            </w:r>
            <w:r>
              <w:rPr>
                <w:noProof/>
                <w:webHidden/>
              </w:rPr>
            </w:r>
            <w:r>
              <w:rPr>
                <w:noProof/>
                <w:webHidden/>
              </w:rPr>
              <w:fldChar w:fldCharType="separate"/>
            </w:r>
            <w:r w:rsidR="003A6F16">
              <w:rPr>
                <w:noProof/>
                <w:webHidden/>
              </w:rPr>
              <w:t>9</w:t>
            </w:r>
            <w:r>
              <w:rPr>
                <w:noProof/>
                <w:webHidden/>
              </w:rPr>
              <w:fldChar w:fldCharType="end"/>
            </w:r>
          </w:hyperlink>
        </w:p>
        <w:p w:rsidR="003A6F16" w:rsidRDefault="007B6095">
          <w:pPr>
            <w:pStyle w:val="TJ1"/>
            <w:tabs>
              <w:tab w:val="right" w:leader="dot" w:pos="9062"/>
            </w:tabs>
            <w:rPr>
              <w:rFonts w:eastAsiaTheme="minorEastAsia"/>
              <w:b w:val="0"/>
              <w:bCs w:val="0"/>
              <w:noProof/>
              <w:kern w:val="0"/>
              <w:sz w:val="22"/>
              <w:szCs w:val="22"/>
              <w:lang w:eastAsia="hu-HU"/>
            </w:rPr>
          </w:pPr>
          <w:hyperlink w:anchor="_Toc231908644" w:history="1">
            <w:r w:rsidR="003A6F16" w:rsidRPr="00101D44">
              <w:rPr>
                <w:rStyle w:val="Hiperhivatkozs"/>
                <w:rFonts w:ascii="Times New Roman" w:hAnsi="Times New Roman" w:cs="Times New Roman"/>
                <w:noProof/>
              </w:rPr>
              <w:t>2. számú melléklet</w:t>
            </w:r>
            <w:r w:rsidR="003A6F16">
              <w:rPr>
                <w:noProof/>
                <w:webHidden/>
              </w:rPr>
              <w:tab/>
            </w:r>
            <w:r>
              <w:rPr>
                <w:noProof/>
                <w:webHidden/>
              </w:rPr>
              <w:fldChar w:fldCharType="begin"/>
            </w:r>
            <w:r w:rsidR="003A6F16">
              <w:rPr>
                <w:noProof/>
                <w:webHidden/>
              </w:rPr>
              <w:instrText xml:space="preserve"> PAGEREF _Toc231908644 \h </w:instrText>
            </w:r>
            <w:r>
              <w:rPr>
                <w:noProof/>
                <w:webHidden/>
              </w:rPr>
            </w:r>
            <w:r>
              <w:rPr>
                <w:noProof/>
                <w:webHidden/>
              </w:rPr>
              <w:fldChar w:fldCharType="separate"/>
            </w:r>
            <w:r w:rsidR="003A6F16">
              <w:rPr>
                <w:noProof/>
                <w:webHidden/>
              </w:rPr>
              <w:t>10</w:t>
            </w:r>
            <w:r>
              <w:rPr>
                <w:noProof/>
                <w:webHidden/>
              </w:rPr>
              <w:fldChar w:fldCharType="end"/>
            </w:r>
          </w:hyperlink>
        </w:p>
        <w:p w:rsidR="003A6F16" w:rsidRDefault="007B6095">
          <w:pPr>
            <w:pStyle w:val="TJ1"/>
            <w:tabs>
              <w:tab w:val="right" w:leader="dot" w:pos="9062"/>
            </w:tabs>
            <w:rPr>
              <w:rFonts w:eastAsiaTheme="minorEastAsia"/>
              <w:b w:val="0"/>
              <w:bCs w:val="0"/>
              <w:noProof/>
              <w:kern w:val="0"/>
              <w:sz w:val="22"/>
              <w:szCs w:val="22"/>
              <w:lang w:eastAsia="hu-HU"/>
            </w:rPr>
          </w:pPr>
          <w:hyperlink w:anchor="_Toc231908645" w:history="1">
            <w:r w:rsidR="003A6F16" w:rsidRPr="00101D44">
              <w:rPr>
                <w:rStyle w:val="Hiperhivatkozs"/>
                <w:rFonts w:ascii="Times New Roman" w:hAnsi="Times New Roman" w:cs="Times New Roman"/>
                <w:noProof/>
              </w:rPr>
              <w:t>3. számú melléklet</w:t>
            </w:r>
            <w:r w:rsidR="003A6F16">
              <w:rPr>
                <w:noProof/>
                <w:webHidden/>
              </w:rPr>
              <w:tab/>
            </w:r>
            <w:r>
              <w:rPr>
                <w:noProof/>
                <w:webHidden/>
              </w:rPr>
              <w:fldChar w:fldCharType="begin"/>
            </w:r>
            <w:r w:rsidR="003A6F16">
              <w:rPr>
                <w:noProof/>
                <w:webHidden/>
              </w:rPr>
              <w:instrText xml:space="preserve"> PAGEREF _Toc231908645 \h </w:instrText>
            </w:r>
            <w:r>
              <w:rPr>
                <w:noProof/>
                <w:webHidden/>
              </w:rPr>
            </w:r>
            <w:r>
              <w:rPr>
                <w:noProof/>
                <w:webHidden/>
              </w:rPr>
              <w:fldChar w:fldCharType="separate"/>
            </w:r>
            <w:r w:rsidR="003A6F16">
              <w:rPr>
                <w:noProof/>
                <w:webHidden/>
              </w:rPr>
              <w:t>11</w:t>
            </w:r>
            <w:r>
              <w:rPr>
                <w:noProof/>
                <w:webHidden/>
              </w:rPr>
              <w:fldChar w:fldCharType="end"/>
            </w:r>
          </w:hyperlink>
        </w:p>
        <w:p w:rsidR="00665299" w:rsidRPr="001274AB" w:rsidRDefault="007B6095">
          <w:pPr>
            <w:rPr>
              <w:rFonts w:ascii="Times New Roman" w:hAnsi="Times New Roman" w:cs="Times New Roman"/>
              <w:b/>
              <w:bCs/>
              <w:noProof/>
              <w:sz w:val="38"/>
              <w:szCs w:val="38"/>
            </w:rPr>
          </w:pPr>
          <w:r w:rsidRPr="001274AB">
            <w:rPr>
              <w:rFonts w:ascii="Times New Roman" w:hAnsi="Times New Roman" w:cs="Times New Roman"/>
              <w:b/>
              <w:bCs/>
              <w:noProof/>
              <w:sz w:val="34"/>
              <w:szCs w:val="34"/>
            </w:rPr>
            <w:fldChar w:fldCharType="end"/>
          </w:r>
        </w:p>
      </w:sdtContent>
    </w:sdt>
    <w:bookmarkEnd w:id="0"/>
    <w:p w:rsidR="0041202A" w:rsidRPr="001274AB" w:rsidRDefault="0041202A">
      <w:pPr>
        <w:rPr>
          <w:rFonts w:ascii="Times New Roman" w:eastAsiaTheme="majorEastAsia" w:hAnsi="Times New Roman" w:cs="Times New Roman"/>
          <w:color w:val="0F4761" w:themeColor="accent1" w:themeShade="BF"/>
          <w:sz w:val="32"/>
          <w:szCs w:val="32"/>
        </w:rPr>
      </w:pPr>
      <w:r w:rsidRPr="001274AB">
        <w:rPr>
          <w:rFonts w:ascii="Times New Roman" w:hAnsi="Times New Roman" w:cs="Times New Roman"/>
          <w:sz w:val="32"/>
          <w:szCs w:val="32"/>
        </w:rPr>
        <w:br w:type="page"/>
      </w:r>
    </w:p>
    <w:p w:rsidR="004013FD" w:rsidRPr="001274AB" w:rsidRDefault="0041202A" w:rsidP="00410509">
      <w:pPr>
        <w:pStyle w:val="Cmsor1"/>
        <w:rPr>
          <w:rFonts w:ascii="Times New Roman" w:hAnsi="Times New Roman" w:cs="Times New Roman"/>
          <w:sz w:val="32"/>
          <w:szCs w:val="32"/>
        </w:rPr>
      </w:pPr>
      <w:bookmarkStart w:id="3" w:name="_Toc231908631"/>
      <w:r w:rsidRPr="001274AB">
        <w:rPr>
          <w:rFonts w:ascii="Times New Roman" w:hAnsi="Times New Roman" w:cs="Times New Roman"/>
          <w:sz w:val="32"/>
          <w:szCs w:val="32"/>
        </w:rPr>
        <w:lastRenderedPageBreak/>
        <w:t>A</w:t>
      </w:r>
      <w:r w:rsidR="00173038" w:rsidRPr="001274AB">
        <w:rPr>
          <w:rFonts w:ascii="Times New Roman" w:hAnsi="Times New Roman" w:cs="Times New Roman"/>
          <w:sz w:val="32"/>
          <w:szCs w:val="32"/>
        </w:rPr>
        <w:t xml:space="preserve"> szabályzat célja és rendeltetése</w:t>
      </w:r>
      <w:bookmarkEnd w:id="3"/>
    </w:p>
    <w:p w:rsidR="00173038" w:rsidRPr="001274AB" w:rsidRDefault="00173038" w:rsidP="00173038">
      <w:pPr>
        <w:jc w:val="both"/>
        <w:rPr>
          <w:rFonts w:ascii="Times New Roman" w:hAnsi="Times New Roman" w:cs="Times New Roman"/>
        </w:rPr>
      </w:pPr>
      <w:r w:rsidRPr="001274AB">
        <w:rPr>
          <w:rFonts w:ascii="Times New Roman" w:hAnsi="Times New Roman" w:cs="Times New Roman"/>
        </w:rPr>
        <w:t>A jelen Fenntarthatósági Közzétételi Szabályzat (a továbbiakban: Szabályzat) célja, hogy meghatározza a GranBróker Kft. (a továbbiakban: Társaság) mint független biztosításközvetítő fenntarthatósági közzétételi gyakorlatát, valamint rögzítse azokat az elveket és eljárásokat, amelyek biztosítják az Európai Unió fenntartható pénzügyekre vonatkozó szabályozási keretrendszerének való megfelelést.</w:t>
      </w:r>
    </w:p>
    <w:p w:rsidR="00173038" w:rsidRPr="001274AB" w:rsidRDefault="00173038" w:rsidP="00173038">
      <w:pPr>
        <w:jc w:val="both"/>
        <w:rPr>
          <w:rFonts w:ascii="Times New Roman" w:hAnsi="Times New Roman" w:cs="Times New Roman"/>
        </w:rPr>
      </w:pPr>
    </w:p>
    <w:p w:rsidR="00173038" w:rsidRPr="001274AB" w:rsidRDefault="00173038" w:rsidP="00173038">
      <w:pPr>
        <w:jc w:val="both"/>
        <w:rPr>
          <w:rFonts w:ascii="Times New Roman" w:hAnsi="Times New Roman" w:cs="Times New Roman"/>
        </w:rPr>
      </w:pPr>
      <w:r w:rsidRPr="001274AB">
        <w:rPr>
          <w:rFonts w:ascii="Times New Roman" w:hAnsi="Times New Roman" w:cs="Times New Roman"/>
        </w:rPr>
        <w:t>A Társaság elkötelezett az ESG (környezeti, társadalmi és vállalatirányítási) szempontok érvényesítése mellett, és biztosítja, hogy az ügyfelek számára nyújtott tanácsadás során a fenntarthatósági információk egyértelműen, érthetően és hiánytalanul jelenjenek meg.</w:t>
      </w:r>
    </w:p>
    <w:p w:rsidR="00173038" w:rsidRPr="001274AB" w:rsidRDefault="00173038" w:rsidP="00173038">
      <w:pPr>
        <w:pStyle w:val="Cmsor1"/>
        <w:rPr>
          <w:rFonts w:ascii="Times New Roman" w:hAnsi="Times New Roman" w:cs="Times New Roman"/>
          <w:sz w:val="32"/>
          <w:szCs w:val="32"/>
        </w:rPr>
      </w:pPr>
      <w:bookmarkStart w:id="4" w:name="_Toc231908632"/>
      <w:r w:rsidRPr="001274AB">
        <w:rPr>
          <w:rFonts w:ascii="Times New Roman" w:hAnsi="Times New Roman" w:cs="Times New Roman"/>
          <w:sz w:val="32"/>
          <w:szCs w:val="32"/>
        </w:rPr>
        <w:t>Jogszabályi háttér</w:t>
      </w:r>
      <w:bookmarkEnd w:id="4"/>
    </w:p>
    <w:p w:rsidR="00173038" w:rsidRPr="001274AB" w:rsidRDefault="00173038" w:rsidP="00173038">
      <w:pPr>
        <w:rPr>
          <w:rFonts w:ascii="Times New Roman" w:hAnsi="Times New Roman" w:cs="Times New Roman"/>
        </w:rPr>
      </w:pPr>
      <w:r w:rsidRPr="001274AB">
        <w:rPr>
          <w:rFonts w:ascii="Times New Roman" w:hAnsi="Times New Roman" w:cs="Times New Roman"/>
        </w:rPr>
        <w:t>A Szabályzat az alábbi jogszabályokra és szabályozási dokumentumokra épül:</w:t>
      </w:r>
    </w:p>
    <w:p w:rsidR="00173038" w:rsidRPr="001274AB" w:rsidRDefault="00173038" w:rsidP="00173038">
      <w:pPr>
        <w:numPr>
          <w:ilvl w:val="0"/>
          <w:numId w:val="41"/>
        </w:numPr>
        <w:rPr>
          <w:rFonts w:ascii="Times New Roman" w:hAnsi="Times New Roman" w:cs="Times New Roman"/>
        </w:rPr>
      </w:pPr>
      <w:r w:rsidRPr="001274AB">
        <w:rPr>
          <w:rFonts w:ascii="Times New Roman" w:hAnsi="Times New Roman" w:cs="Times New Roman"/>
          <w:b/>
          <w:bCs/>
        </w:rPr>
        <w:t>(EU) 2019/2088 rendelet (SFDR)</w:t>
      </w:r>
      <w:r w:rsidRPr="001274AB">
        <w:rPr>
          <w:rFonts w:ascii="Times New Roman" w:hAnsi="Times New Roman" w:cs="Times New Roman"/>
        </w:rPr>
        <w:t xml:space="preserve"> – a fenntarthatósággal kapcsolatos közzétételekről</w:t>
      </w:r>
    </w:p>
    <w:p w:rsidR="00173038" w:rsidRPr="001274AB" w:rsidRDefault="00173038" w:rsidP="00173038">
      <w:pPr>
        <w:numPr>
          <w:ilvl w:val="0"/>
          <w:numId w:val="41"/>
        </w:numPr>
        <w:rPr>
          <w:rFonts w:ascii="Times New Roman" w:hAnsi="Times New Roman" w:cs="Times New Roman"/>
        </w:rPr>
      </w:pPr>
      <w:r w:rsidRPr="001274AB">
        <w:rPr>
          <w:rFonts w:ascii="Times New Roman" w:hAnsi="Times New Roman" w:cs="Times New Roman"/>
          <w:b/>
          <w:bCs/>
        </w:rPr>
        <w:t>(EU) 2020/852 rendelet (Taxonómia</w:t>
      </w:r>
      <w:r w:rsidRPr="001274AB">
        <w:rPr>
          <w:rFonts w:ascii="Times New Roman" w:hAnsi="Times New Roman" w:cs="Times New Roman"/>
          <w:b/>
          <w:bCs/>
        </w:rPr>
        <w:noBreakHyphen/>
        <w:t>rendelet)</w:t>
      </w:r>
      <w:r w:rsidRPr="001274AB">
        <w:rPr>
          <w:rFonts w:ascii="Times New Roman" w:hAnsi="Times New Roman" w:cs="Times New Roman"/>
        </w:rPr>
        <w:t xml:space="preserve"> – a fenntartható gazdasági tevékenységek osztályozásáról</w:t>
      </w:r>
    </w:p>
    <w:p w:rsidR="00173038" w:rsidRPr="001274AB" w:rsidRDefault="00173038" w:rsidP="00173038">
      <w:pPr>
        <w:numPr>
          <w:ilvl w:val="0"/>
          <w:numId w:val="41"/>
        </w:numPr>
        <w:rPr>
          <w:rFonts w:ascii="Times New Roman" w:hAnsi="Times New Roman" w:cs="Times New Roman"/>
        </w:rPr>
      </w:pPr>
      <w:r w:rsidRPr="001274AB">
        <w:rPr>
          <w:rFonts w:ascii="Times New Roman" w:hAnsi="Times New Roman" w:cs="Times New Roman"/>
          <w:b/>
          <w:bCs/>
        </w:rPr>
        <w:t>(EU) 2016/97 irányelv (IDD)</w:t>
      </w:r>
      <w:r w:rsidRPr="001274AB">
        <w:rPr>
          <w:rFonts w:ascii="Times New Roman" w:hAnsi="Times New Roman" w:cs="Times New Roman"/>
        </w:rPr>
        <w:t xml:space="preserve"> – biztosítási értékesítés</w:t>
      </w:r>
    </w:p>
    <w:p w:rsidR="00173038" w:rsidRPr="001274AB" w:rsidRDefault="00173038" w:rsidP="00173038">
      <w:pPr>
        <w:numPr>
          <w:ilvl w:val="0"/>
          <w:numId w:val="41"/>
        </w:numPr>
        <w:rPr>
          <w:rFonts w:ascii="Times New Roman" w:hAnsi="Times New Roman" w:cs="Times New Roman"/>
        </w:rPr>
      </w:pPr>
      <w:r w:rsidRPr="001274AB">
        <w:rPr>
          <w:rFonts w:ascii="Times New Roman" w:hAnsi="Times New Roman" w:cs="Times New Roman"/>
          <w:b/>
          <w:bCs/>
        </w:rPr>
        <w:t>(EU) 2021/1257 felhatalmazáson alapuló rendelet</w:t>
      </w:r>
      <w:r w:rsidRPr="001274AB">
        <w:rPr>
          <w:rFonts w:ascii="Times New Roman" w:hAnsi="Times New Roman" w:cs="Times New Roman"/>
        </w:rPr>
        <w:t xml:space="preserve"> – fenntarthatósági tényezők integrálása</w:t>
      </w:r>
    </w:p>
    <w:p w:rsidR="00173038" w:rsidRPr="001274AB" w:rsidRDefault="00173038" w:rsidP="00173038">
      <w:pPr>
        <w:numPr>
          <w:ilvl w:val="0"/>
          <w:numId w:val="41"/>
        </w:numPr>
        <w:rPr>
          <w:rFonts w:ascii="Times New Roman" w:hAnsi="Times New Roman" w:cs="Times New Roman"/>
        </w:rPr>
      </w:pPr>
      <w:r w:rsidRPr="001274AB">
        <w:rPr>
          <w:rFonts w:ascii="Times New Roman" w:hAnsi="Times New Roman" w:cs="Times New Roman"/>
          <w:b/>
          <w:bCs/>
        </w:rPr>
        <w:t>2014. évi LXXXVIII. törvény (Bit.)</w:t>
      </w:r>
      <w:r w:rsidRPr="001274AB">
        <w:rPr>
          <w:rFonts w:ascii="Times New Roman" w:hAnsi="Times New Roman" w:cs="Times New Roman"/>
        </w:rPr>
        <w:t xml:space="preserve"> – biztosítási tevékenység</w:t>
      </w:r>
    </w:p>
    <w:p w:rsidR="00173038" w:rsidRPr="001274AB" w:rsidRDefault="00173038" w:rsidP="001274AB">
      <w:pPr>
        <w:numPr>
          <w:ilvl w:val="0"/>
          <w:numId w:val="41"/>
        </w:numPr>
        <w:rPr>
          <w:rFonts w:ascii="Times New Roman" w:hAnsi="Times New Roman" w:cs="Times New Roman"/>
        </w:rPr>
      </w:pPr>
      <w:r w:rsidRPr="001274AB">
        <w:rPr>
          <w:rFonts w:ascii="Times New Roman" w:hAnsi="Times New Roman" w:cs="Times New Roman"/>
        </w:rPr>
        <w:t>MNB ajánlások és vezetői körlevelek</w:t>
      </w:r>
    </w:p>
    <w:p w:rsidR="00173038" w:rsidRPr="001274AB" w:rsidRDefault="00173038" w:rsidP="00173038">
      <w:pPr>
        <w:pStyle w:val="Cmsor1"/>
        <w:rPr>
          <w:rFonts w:ascii="Times New Roman" w:hAnsi="Times New Roman" w:cs="Times New Roman"/>
          <w:sz w:val="32"/>
          <w:szCs w:val="32"/>
        </w:rPr>
      </w:pPr>
      <w:bookmarkStart w:id="5" w:name="_Toc231908633"/>
      <w:r w:rsidRPr="001274AB">
        <w:rPr>
          <w:rFonts w:ascii="Times New Roman" w:hAnsi="Times New Roman" w:cs="Times New Roman"/>
          <w:sz w:val="32"/>
          <w:szCs w:val="32"/>
        </w:rPr>
        <w:t>Személyi és szervezeti hatály</w:t>
      </w:r>
      <w:bookmarkEnd w:id="5"/>
    </w:p>
    <w:p w:rsidR="00173038" w:rsidRPr="001274AB" w:rsidRDefault="00173038" w:rsidP="00173038">
      <w:pPr>
        <w:jc w:val="both"/>
        <w:rPr>
          <w:rFonts w:ascii="Times New Roman" w:hAnsi="Times New Roman" w:cs="Times New Roman"/>
        </w:rPr>
      </w:pPr>
      <w:r w:rsidRPr="001274AB">
        <w:rPr>
          <w:rFonts w:ascii="Times New Roman" w:hAnsi="Times New Roman" w:cs="Times New Roman"/>
        </w:rPr>
        <w:t>A Szabályzat hatálya kiterjed minden olyan természetes és jogi személyre, aki a Társaság nevében:</w:t>
      </w:r>
    </w:p>
    <w:p w:rsidR="00173038" w:rsidRPr="001274AB" w:rsidRDefault="00173038" w:rsidP="00173038">
      <w:pPr>
        <w:numPr>
          <w:ilvl w:val="0"/>
          <w:numId w:val="42"/>
        </w:numPr>
        <w:jc w:val="both"/>
        <w:rPr>
          <w:rFonts w:ascii="Times New Roman" w:hAnsi="Times New Roman" w:cs="Times New Roman"/>
        </w:rPr>
      </w:pPr>
      <w:r w:rsidRPr="001274AB">
        <w:rPr>
          <w:rFonts w:ascii="Times New Roman" w:hAnsi="Times New Roman" w:cs="Times New Roman"/>
        </w:rPr>
        <w:t>biztosításközvetítői tevékenységet végez,</w:t>
      </w:r>
    </w:p>
    <w:p w:rsidR="00173038" w:rsidRPr="001274AB" w:rsidRDefault="00173038" w:rsidP="00173038">
      <w:pPr>
        <w:numPr>
          <w:ilvl w:val="0"/>
          <w:numId w:val="42"/>
        </w:numPr>
        <w:jc w:val="both"/>
        <w:rPr>
          <w:rFonts w:ascii="Times New Roman" w:hAnsi="Times New Roman" w:cs="Times New Roman"/>
        </w:rPr>
      </w:pPr>
      <w:r w:rsidRPr="001274AB">
        <w:rPr>
          <w:rFonts w:ascii="Times New Roman" w:hAnsi="Times New Roman" w:cs="Times New Roman"/>
        </w:rPr>
        <w:t>biztosítási alapú befektetési termékekkel kapcsolatban tanácsot ad,</w:t>
      </w:r>
    </w:p>
    <w:p w:rsidR="00173038" w:rsidRPr="001274AB" w:rsidRDefault="00173038" w:rsidP="00173038">
      <w:pPr>
        <w:numPr>
          <w:ilvl w:val="0"/>
          <w:numId w:val="42"/>
        </w:numPr>
        <w:jc w:val="both"/>
        <w:rPr>
          <w:rFonts w:ascii="Times New Roman" w:hAnsi="Times New Roman" w:cs="Times New Roman"/>
        </w:rPr>
      </w:pPr>
      <w:r w:rsidRPr="001274AB">
        <w:rPr>
          <w:rFonts w:ascii="Times New Roman" w:hAnsi="Times New Roman" w:cs="Times New Roman"/>
        </w:rPr>
        <w:t>ügyféltájékoztatási vagy dokumentációs feladatot lát el.</w:t>
      </w:r>
    </w:p>
    <w:p w:rsidR="00173038" w:rsidRPr="001274AB" w:rsidRDefault="00173038" w:rsidP="00173038">
      <w:pPr>
        <w:pStyle w:val="Cmsor1"/>
        <w:rPr>
          <w:rFonts w:ascii="Times New Roman" w:hAnsi="Times New Roman" w:cs="Times New Roman"/>
          <w:sz w:val="32"/>
          <w:szCs w:val="32"/>
        </w:rPr>
      </w:pPr>
      <w:bookmarkStart w:id="6" w:name="_Toc231908634"/>
      <w:r w:rsidRPr="001274AB">
        <w:rPr>
          <w:rFonts w:ascii="Times New Roman" w:hAnsi="Times New Roman" w:cs="Times New Roman"/>
          <w:sz w:val="32"/>
          <w:szCs w:val="32"/>
        </w:rPr>
        <w:t>Tárgyi hatály</w:t>
      </w:r>
      <w:bookmarkEnd w:id="6"/>
    </w:p>
    <w:p w:rsidR="00173038" w:rsidRPr="001274AB" w:rsidRDefault="00173038" w:rsidP="00173038">
      <w:pPr>
        <w:jc w:val="both"/>
        <w:rPr>
          <w:rFonts w:ascii="Times New Roman" w:hAnsi="Times New Roman" w:cs="Times New Roman"/>
        </w:rPr>
      </w:pPr>
      <w:r w:rsidRPr="001274AB">
        <w:rPr>
          <w:rFonts w:ascii="Times New Roman" w:hAnsi="Times New Roman" w:cs="Times New Roman"/>
        </w:rPr>
        <w:t xml:space="preserve">A Szabályzat kizárólag a </w:t>
      </w:r>
      <w:r w:rsidRPr="001274AB">
        <w:rPr>
          <w:rFonts w:ascii="Times New Roman" w:hAnsi="Times New Roman" w:cs="Times New Roman"/>
          <w:b/>
          <w:bCs/>
        </w:rPr>
        <w:t>biztosítási alapú befektetési termékekre (IBIP)</w:t>
      </w:r>
      <w:r w:rsidRPr="001274AB">
        <w:rPr>
          <w:rFonts w:ascii="Times New Roman" w:hAnsi="Times New Roman" w:cs="Times New Roman"/>
        </w:rPr>
        <w:t xml:space="preserve"> terjed ki:</w:t>
      </w:r>
    </w:p>
    <w:p w:rsidR="00173038" w:rsidRPr="001274AB" w:rsidRDefault="00173038" w:rsidP="00173038">
      <w:pPr>
        <w:numPr>
          <w:ilvl w:val="0"/>
          <w:numId w:val="43"/>
        </w:numPr>
        <w:jc w:val="both"/>
        <w:rPr>
          <w:rFonts w:ascii="Times New Roman" w:hAnsi="Times New Roman" w:cs="Times New Roman"/>
        </w:rPr>
      </w:pPr>
      <w:r w:rsidRPr="001274AB">
        <w:rPr>
          <w:rFonts w:ascii="Times New Roman" w:hAnsi="Times New Roman" w:cs="Times New Roman"/>
        </w:rPr>
        <w:t>unit</w:t>
      </w:r>
      <w:r w:rsidRPr="001274AB">
        <w:rPr>
          <w:rFonts w:ascii="Times New Roman" w:hAnsi="Times New Roman" w:cs="Times New Roman"/>
        </w:rPr>
        <w:noBreakHyphen/>
        <w:t>linked életbiztosítások,</w:t>
      </w:r>
    </w:p>
    <w:p w:rsidR="00173038" w:rsidRPr="001274AB" w:rsidRDefault="00173038" w:rsidP="00173038">
      <w:pPr>
        <w:numPr>
          <w:ilvl w:val="0"/>
          <w:numId w:val="43"/>
        </w:numPr>
        <w:jc w:val="both"/>
        <w:rPr>
          <w:rFonts w:ascii="Times New Roman" w:hAnsi="Times New Roman" w:cs="Times New Roman"/>
        </w:rPr>
      </w:pPr>
      <w:r w:rsidRPr="001274AB">
        <w:rPr>
          <w:rFonts w:ascii="Times New Roman" w:hAnsi="Times New Roman" w:cs="Times New Roman"/>
        </w:rPr>
        <w:t>megtakarítási jellegű, befektetési komponenst tartalmazó életbiztosítások.</w:t>
      </w:r>
    </w:p>
    <w:p w:rsidR="00173038" w:rsidRPr="001274AB" w:rsidRDefault="00173038" w:rsidP="00173038">
      <w:pPr>
        <w:jc w:val="both"/>
        <w:rPr>
          <w:rFonts w:ascii="Times New Roman" w:hAnsi="Times New Roman" w:cs="Times New Roman"/>
        </w:rPr>
      </w:pPr>
      <w:r w:rsidRPr="001274AB">
        <w:rPr>
          <w:rFonts w:ascii="Times New Roman" w:hAnsi="Times New Roman" w:cs="Times New Roman"/>
        </w:rPr>
        <w:t>Nem terjed ki:</w:t>
      </w:r>
    </w:p>
    <w:p w:rsidR="00173038" w:rsidRPr="001274AB" w:rsidRDefault="00173038" w:rsidP="00173038">
      <w:pPr>
        <w:numPr>
          <w:ilvl w:val="0"/>
          <w:numId w:val="44"/>
        </w:numPr>
        <w:jc w:val="both"/>
        <w:rPr>
          <w:rFonts w:ascii="Times New Roman" w:hAnsi="Times New Roman" w:cs="Times New Roman"/>
        </w:rPr>
      </w:pPr>
      <w:r w:rsidRPr="001274AB">
        <w:rPr>
          <w:rFonts w:ascii="Times New Roman" w:hAnsi="Times New Roman" w:cs="Times New Roman"/>
        </w:rPr>
        <w:t>tiszta kockázati életbiztosításokra,</w:t>
      </w:r>
    </w:p>
    <w:p w:rsidR="00173038" w:rsidRPr="001274AB" w:rsidRDefault="00173038" w:rsidP="00484071">
      <w:pPr>
        <w:numPr>
          <w:ilvl w:val="0"/>
          <w:numId w:val="44"/>
        </w:numPr>
        <w:jc w:val="both"/>
        <w:rPr>
          <w:rFonts w:ascii="Times New Roman" w:hAnsi="Times New Roman" w:cs="Times New Roman"/>
        </w:rPr>
      </w:pPr>
      <w:r w:rsidRPr="001274AB">
        <w:rPr>
          <w:rFonts w:ascii="Times New Roman" w:hAnsi="Times New Roman" w:cs="Times New Roman"/>
        </w:rPr>
        <w:t>baleset-, egészség-, vagyon-, gépjármű- és felelősségbiztosításokra.</w:t>
      </w:r>
    </w:p>
    <w:p w:rsidR="00410509" w:rsidRPr="001274AB" w:rsidRDefault="0041202A" w:rsidP="00410509">
      <w:pPr>
        <w:pStyle w:val="Cmsor1"/>
        <w:rPr>
          <w:rFonts w:ascii="Times New Roman" w:hAnsi="Times New Roman" w:cs="Times New Roman"/>
          <w:sz w:val="32"/>
          <w:szCs w:val="32"/>
        </w:rPr>
      </w:pPr>
      <w:bookmarkStart w:id="7" w:name="_Toc231908635"/>
      <w:r w:rsidRPr="001274AB">
        <w:rPr>
          <w:rFonts w:ascii="Times New Roman" w:hAnsi="Times New Roman" w:cs="Times New Roman"/>
          <w:sz w:val="32"/>
          <w:szCs w:val="32"/>
        </w:rPr>
        <w:t>Jogszabály szereplői</w:t>
      </w:r>
      <w:bookmarkEnd w:id="7"/>
    </w:p>
    <w:p w:rsidR="000A1419" w:rsidRPr="001274AB" w:rsidRDefault="000A1419" w:rsidP="0041202A">
      <w:pPr>
        <w:jc w:val="both"/>
        <w:rPr>
          <w:rFonts w:ascii="Times New Roman" w:hAnsi="Times New Roman" w:cs="Times New Roman"/>
        </w:rPr>
      </w:pPr>
      <w:r w:rsidRPr="001274AB">
        <w:rPr>
          <w:rFonts w:ascii="Times New Roman" w:hAnsi="Times New Roman" w:cs="Times New Roman"/>
        </w:rPr>
        <w:t>A jogszabály alapján a Társaság szempontjából 2 féle szereplő a releváns:</w:t>
      </w:r>
    </w:p>
    <w:p w:rsidR="0041202A" w:rsidRPr="001274AB" w:rsidRDefault="0041202A" w:rsidP="0041202A">
      <w:pPr>
        <w:jc w:val="both"/>
        <w:rPr>
          <w:rFonts w:ascii="Times New Roman" w:hAnsi="Times New Roman" w:cs="Times New Roman"/>
        </w:rPr>
      </w:pPr>
      <w:r w:rsidRPr="001274AB">
        <w:rPr>
          <w:rFonts w:ascii="Times New Roman" w:hAnsi="Times New Roman" w:cs="Times New Roman"/>
        </w:rPr>
        <w:t xml:space="preserve">- </w:t>
      </w:r>
      <w:r w:rsidR="00BB5E6F">
        <w:rPr>
          <w:rFonts w:ascii="Times New Roman" w:hAnsi="Times New Roman" w:cs="Times New Roman"/>
        </w:rPr>
        <w:t xml:space="preserve">  </w:t>
      </w:r>
      <w:r w:rsidRPr="001274AB">
        <w:rPr>
          <w:rFonts w:ascii="Times New Roman" w:hAnsi="Times New Roman" w:cs="Times New Roman"/>
        </w:rPr>
        <w:t>pénzügyi piaci szereplők</w:t>
      </w:r>
      <w:r w:rsidR="000A1419" w:rsidRPr="001274AB">
        <w:rPr>
          <w:rFonts w:ascii="Times New Roman" w:hAnsi="Times New Roman" w:cs="Times New Roman"/>
        </w:rPr>
        <w:t xml:space="preserve">: </w:t>
      </w:r>
      <w:r w:rsidRPr="001274AB">
        <w:rPr>
          <w:rFonts w:ascii="Times New Roman" w:hAnsi="Times New Roman" w:cs="Times New Roman"/>
        </w:rPr>
        <w:t>akik a pénzügyi termékeket biztosítják</w:t>
      </w:r>
    </w:p>
    <w:p w:rsidR="0041202A" w:rsidRPr="001274AB" w:rsidRDefault="00BB5E6F" w:rsidP="0041202A">
      <w:pPr>
        <w:jc w:val="both"/>
        <w:rPr>
          <w:rFonts w:ascii="Times New Roman" w:hAnsi="Times New Roman" w:cs="Times New Roman"/>
        </w:rPr>
      </w:pPr>
      <w:r>
        <w:rPr>
          <w:rFonts w:ascii="Times New Roman" w:hAnsi="Times New Roman" w:cs="Times New Roman"/>
        </w:rPr>
        <w:t xml:space="preserve">- </w:t>
      </w:r>
      <w:r w:rsidR="0041202A" w:rsidRPr="001274AB">
        <w:rPr>
          <w:rFonts w:ascii="Times New Roman" w:hAnsi="Times New Roman" w:cs="Times New Roman"/>
        </w:rPr>
        <w:t>pénzügyi tanácsadók</w:t>
      </w:r>
      <w:r w:rsidR="000A1419" w:rsidRPr="001274AB">
        <w:rPr>
          <w:rFonts w:ascii="Times New Roman" w:hAnsi="Times New Roman" w:cs="Times New Roman"/>
        </w:rPr>
        <w:t>: olyan biztosításközvetítő, amely biztosítási tanácsadást nyújt biztosítási alapú befektetési termékek vonatkozásában;</w:t>
      </w:r>
    </w:p>
    <w:p w:rsidR="0041202A" w:rsidRPr="001274AB" w:rsidRDefault="0041202A" w:rsidP="0041202A">
      <w:pPr>
        <w:jc w:val="both"/>
        <w:rPr>
          <w:rFonts w:ascii="Times New Roman" w:hAnsi="Times New Roman" w:cs="Times New Roman"/>
        </w:rPr>
      </w:pPr>
    </w:p>
    <w:p w:rsidR="00410509" w:rsidRPr="001274AB" w:rsidRDefault="0041202A" w:rsidP="00D9646C">
      <w:pPr>
        <w:jc w:val="both"/>
        <w:rPr>
          <w:rFonts w:ascii="Times New Roman" w:hAnsi="Times New Roman" w:cs="Times New Roman"/>
        </w:rPr>
      </w:pPr>
      <w:r w:rsidRPr="001274AB">
        <w:rPr>
          <w:rFonts w:ascii="Times New Roman" w:hAnsi="Times New Roman" w:cs="Times New Roman"/>
        </w:rPr>
        <w:t xml:space="preserve">GranBróker Független Biztosításközvetítő Kft, mint pénzügyi tanácsadó az eljárási rend hatályba lépésének időpontjában </w:t>
      </w:r>
      <w:r w:rsidR="003D0501" w:rsidRPr="001274AB">
        <w:rPr>
          <w:rFonts w:ascii="Times New Roman" w:hAnsi="Times New Roman" w:cs="Times New Roman"/>
        </w:rPr>
        <w:t>4</w:t>
      </w:r>
      <w:r w:rsidRPr="001274AB">
        <w:rPr>
          <w:rFonts w:ascii="Times New Roman" w:hAnsi="Times New Roman" w:cs="Times New Roman"/>
        </w:rPr>
        <w:t xml:space="preserve"> fő munkaviszonnyal és 17 fő megbízási jogviszonnyal rendelkező személlyel áll kapcsolatban.</w:t>
      </w:r>
    </w:p>
    <w:p w:rsidR="004013FD" w:rsidRPr="001274AB" w:rsidRDefault="007A70D2" w:rsidP="00D868C4">
      <w:pPr>
        <w:pStyle w:val="Cmsor1"/>
        <w:jc w:val="both"/>
        <w:rPr>
          <w:rFonts w:ascii="Times New Roman" w:hAnsi="Times New Roman" w:cs="Times New Roman"/>
          <w:sz w:val="32"/>
          <w:szCs w:val="32"/>
        </w:rPr>
      </w:pPr>
      <w:bookmarkStart w:id="8" w:name="_Toc174454779"/>
      <w:bookmarkStart w:id="9" w:name="_Toc231908636"/>
      <w:r w:rsidRPr="001274AB">
        <w:rPr>
          <w:rFonts w:ascii="Times New Roman" w:hAnsi="Times New Roman" w:cs="Times New Roman"/>
          <w:sz w:val="32"/>
          <w:szCs w:val="32"/>
        </w:rPr>
        <w:lastRenderedPageBreak/>
        <w:t>Fo</w:t>
      </w:r>
      <w:r w:rsidR="00F62077" w:rsidRPr="001274AB">
        <w:rPr>
          <w:rFonts w:ascii="Times New Roman" w:hAnsi="Times New Roman" w:cs="Times New Roman"/>
          <w:sz w:val="32"/>
          <w:szCs w:val="32"/>
        </w:rPr>
        <w:t>g</w:t>
      </w:r>
      <w:r w:rsidRPr="001274AB">
        <w:rPr>
          <w:rFonts w:ascii="Times New Roman" w:hAnsi="Times New Roman" w:cs="Times New Roman"/>
          <w:sz w:val="32"/>
          <w:szCs w:val="32"/>
        </w:rPr>
        <w:t>almak</w:t>
      </w:r>
      <w:bookmarkEnd w:id="8"/>
      <w:bookmarkEnd w:id="9"/>
      <w:bookmarkEnd w:id="1"/>
    </w:p>
    <w:p w:rsidR="007A70D2" w:rsidRPr="001274AB" w:rsidRDefault="00191118" w:rsidP="00D9646C">
      <w:pPr>
        <w:jc w:val="both"/>
        <w:rPr>
          <w:rFonts w:ascii="Times New Roman" w:hAnsi="Times New Roman" w:cs="Times New Roman"/>
        </w:rPr>
      </w:pPr>
      <w:r w:rsidRPr="001274AB">
        <w:rPr>
          <w:rFonts w:ascii="Times New Roman" w:hAnsi="Times New Roman" w:cs="Times New Roman"/>
          <w:b/>
          <w:bCs/>
        </w:rPr>
        <w:t>alkusz:</w:t>
      </w:r>
      <w:r w:rsidR="007C49DF" w:rsidRPr="001274AB">
        <w:rPr>
          <w:rFonts w:ascii="Times New Roman" w:hAnsi="Times New Roman" w:cs="Times New Roman"/>
        </w:rPr>
        <w:t xml:space="preserve"> </w:t>
      </w:r>
      <w:r w:rsidRPr="001274AB">
        <w:rPr>
          <w:rFonts w:ascii="Times New Roman" w:hAnsi="Times New Roman" w:cs="Times New Roman"/>
        </w:rPr>
        <w:t>a GranBróker Kft., amely a biztosítási tevékenységről szóló 2014. évi LXXXVIII. törvény (Bit.) 4. § (1) bek. 35. pontja és 398. §-a szerinti, az ügyfél megbízásából eljáró független biztosításközvetítő (biztosítási alkusz) az ÁSZF további pontjaiban meghatározott részletes tartalommal.</w:t>
      </w:r>
    </w:p>
    <w:p w:rsidR="00277A58" w:rsidRPr="001274AB" w:rsidRDefault="00277A58" w:rsidP="00D9646C">
      <w:pPr>
        <w:jc w:val="both"/>
        <w:rPr>
          <w:rFonts w:ascii="Times New Roman" w:hAnsi="Times New Roman" w:cs="Times New Roman"/>
        </w:rPr>
      </w:pPr>
    </w:p>
    <w:p w:rsidR="00277A58" w:rsidRPr="001274AB" w:rsidRDefault="00277A58" w:rsidP="00D9646C">
      <w:pPr>
        <w:jc w:val="both"/>
        <w:rPr>
          <w:rFonts w:ascii="Times New Roman" w:hAnsi="Times New Roman" w:cs="Times New Roman"/>
        </w:rPr>
      </w:pPr>
      <w:r w:rsidRPr="001274AB">
        <w:rPr>
          <w:rFonts w:ascii="Times New Roman" w:hAnsi="Times New Roman" w:cs="Times New Roman"/>
          <w:b/>
          <w:bCs/>
        </w:rPr>
        <w:t>biztosító:</w:t>
      </w:r>
      <w:r w:rsidRPr="001274AB">
        <w:rPr>
          <w:rFonts w:ascii="Times New Roman" w:hAnsi="Times New Roman" w:cs="Times New Roman"/>
        </w:rPr>
        <w:t xml:space="preserve"> az Ügyfél biztosítási igényei és preferenciái alapján az Alkusz által összehasonlított biztosító részvénytársaság, szövetkezet, egyesület, vagy harmadik országbeli biztosító magyarországi fióktelepe közül az, amelyik felé az Ügyfél az Alkuszon keresztül biztosítási szerződés megkötésére szóló ajánlatot vagy a már meglévő szerződés módosítására, megszüntetésére vonatkozó nyilatkozatot tesz, illetve amellyel az Ügyfél az Alkuszon keresztül biztosítási szerződést köt.</w:t>
      </w:r>
    </w:p>
    <w:p w:rsidR="004013FD" w:rsidRPr="001274AB" w:rsidRDefault="004013FD" w:rsidP="00D9646C">
      <w:pPr>
        <w:jc w:val="both"/>
        <w:rPr>
          <w:rFonts w:ascii="Times New Roman" w:hAnsi="Times New Roman" w:cs="Times New Roman"/>
          <w:b/>
          <w:bCs/>
        </w:rPr>
      </w:pPr>
    </w:p>
    <w:p w:rsidR="0041202A" w:rsidRPr="001274AB" w:rsidRDefault="0041202A" w:rsidP="0041202A">
      <w:pPr>
        <w:jc w:val="both"/>
        <w:rPr>
          <w:rFonts w:ascii="Times New Roman" w:hAnsi="Times New Roman" w:cs="Times New Roman"/>
        </w:rPr>
      </w:pPr>
      <w:r w:rsidRPr="001274AB">
        <w:rPr>
          <w:rFonts w:ascii="Times New Roman" w:hAnsi="Times New Roman" w:cs="Times New Roman"/>
          <w:b/>
          <w:bCs/>
        </w:rPr>
        <w:t>Fenntartható befektetés:</w:t>
      </w:r>
      <w:r w:rsidRPr="001274AB">
        <w:rPr>
          <w:rFonts w:ascii="Times New Roman" w:hAnsi="Times New Roman" w:cs="Times New Roman"/>
        </w:rPr>
        <w:t xml:space="preserve"> Környezeti vagy társadalmi célkitűzéshez hozzájáruló gazdasági befektetések, amelyek nem járnak káros hatással más fenntarthatósági célokra nézve és helyes vállalatirányítási gyakorlatokat követ.</w:t>
      </w:r>
    </w:p>
    <w:p w:rsidR="0041202A" w:rsidRPr="001274AB" w:rsidRDefault="0041202A" w:rsidP="0041202A">
      <w:pPr>
        <w:jc w:val="both"/>
        <w:rPr>
          <w:rFonts w:ascii="Times New Roman" w:hAnsi="Times New Roman" w:cs="Times New Roman"/>
        </w:rPr>
      </w:pPr>
    </w:p>
    <w:p w:rsidR="0041202A" w:rsidRPr="001274AB" w:rsidRDefault="0041202A" w:rsidP="0041202A">
      <w:pPr>
        <w:jc w:val="both"/>
        <w:rPr>
          <w:rFonts w:ascii="Times New Roman" w:hAnsi="Times New Roman" w:cs="Times New Roman"/>
        </w:rPr>
      </w:pPr>
      <w:r w:rsidRPr="001274AB">
        <w:rPr>
          <w:rFonts w:ascii="Times New Roman" w:hAnsi="Times New Roman" w:cs="Times New Roman"/>
          <w:b/>
          <w:bCs/>
        </w:rPr>
        <w:t>Fenntarthatósági kockázatok:</w:t>
      </w:r>
      <w:r w:rsidRPr="001274AB">
        <w:rPr>
          <w:rFonts w:ascii="Times New Roman" w:hAnsi="Times New Roman" w:cs="Times New Roman"/>
        </w:rPr>
        <w:t xml:space="preserve"> ESG (környezeti, társadalmi vagy irányítási) esemény vagy körülmény, amelynek bekövetkezése tényleges vagy lehetséges, lényeges negatív hatást gyakorolhat a befektetés értékére.</w:t>
      </w:r>
    </w:p>
    <w:p w:rsidR="0041202A" w:rsidRPr="001274AB" w:rsidRDefault="0041202A" w:rsidP="0041202A">
      <w:pPr>
        <w:jc w:val="both"/>
        <w:rPr>
          <w:rFonts w:ascii="Times New Roman" w:hAnsi="Times New Roman" w:cs="Times New Roman"/>
        </w:rPr>
      </w:pPr>
    </w:p>
    <w:p w:rsidR="0041202A" w:rsidRPr="001274AB" w:rsidRDefault="0041202A" w:rsidP="00D9646C">
      <w:pPr>
        <w:jc w:val="both"/>
        <w:rPr>
          <w:rFonts w:ascii="Times New Roman" w:hAnsi="Times New Roman" w:cs="Times New Roman"/>
        </w:rPr>
      </w:pPr>
      <w:r w:rsidRPr="001274AB">
        <w:rPr>
          <w:rFonts w:ascii="Times New Roman" w:hAnsi="Times New Roman" w:cs="Times New Roman"/>
          <w:b/>
          <w:bCs/>
        </w:rPr>
        <w:t>Fenntarthatósági tényezők:</w:t>
      </w:r>
      <w:r w:rsidRPr="001274AB">
        <w:rPr>
          <w:rFonts w:ascii="Times New Roman" w:hAnsi="Times New Roman" w:cs="Times New Roman"/>
        </w:rPr>
        <w:t xml:space="preserve"> környezeti, társadalmi és munkavállalói kérdések, az emberi jogok tiszteletben tartása, valamint a korrupció és a vesztegetés elleni küzdelemmel kapcsolatos kérdések.</w:t>
      </w:r>
    </w:p>
    <w:p w:rsidR="004013FD" w:rsidRPr="001274AB" w:rsidRDefault="004013FD" w:rsidP="00D9646C">
      <w:pPr>
        <w:jc w:val="both"/>
        <w:rPr>
          <w:rFonts w:ascii="Times New Roman" w:hAnsi="Times New Roman" w:cs="Times New Roman"/>
          <w:sz w:val="22"/>
          <w:szCs w:val="22"/>
        </w:rPr>
      </w:pPr>
    </w:p>
    <w:p w:rsidR="00153111" w:rsidRPr="001274AB" w:rsidRDefault="0041202A" w:rsidP="00914B20">
      <w:pPr>
        <w:pStyle w:val="Cmsor1"/>
        <w:spacing w:before="0"/>
        <w:rPr>
          <w:rFonts w:ascii="Times New Roman" w:hAnsi="Times New Roman" w:cs="Times New Roman"/>
          <w:sz w:val="32"/>
          <w:szCs w:val="32"/>
        </w:rPr>
      </w:pPr>
      <w:bookmarkStart w:id="10" w:name="_Toc231908637"/>
      <w:r w:rsidRPr="001274AB">
        <w:rPr>
          <w:rFonts w:ascii="Times New Roman" w:hAnsi="Times New Roman" w:cs="Times New Roman"/>
          <w:sz w:val="32"/>
          <w:szCs w:val="32"/>
        </w:rPr>
        <w:t>GranBróker Független Biztosításközvetítő Kft. tevékenysége</w:t>
      </w:r>
      <w:bookmarkEnd w:id="10"/>
    </w:p>
    <w:p w:rsidR="0041202A" w:rsidRPr="001274AB" w:rsidRDefault="000A1419" w:rsidP="0041202A">
      <w:pPr>
        <w:jc w:val="both"/>
        <w:rPr>
          <w:rFonts w:ascii="Times New Roman" w:hAnsi="Times New Roman" w:cs="Times New Roman"/>
        </w:rPr>
      </w:pPr>
      <w:r w:rsidRPr="001274AB">
        <w:rPr>
          <w:rFonts w:ascii="Times New Roman" w:hAnsi="Times New Roman" w:cs="Times New Roman"/>
        </w:rPr>
        <w:t>Az SFDR célja, hogy fokozza a pénzügyi termékek fenntarthatósági jellemzőire vonatkozó átláthatóságot. Ennek érdekében a pénzügyi tanácsadóknak is kötelességük figyelembe venni a fenntarthatósági szempontokat a tanácsadás során.</w:t>
      </w:r>
    </w:p>
    <w:p w:rsidR="006E70CB" w:rsidRPr="001274AB" w:rsidRDefault="006E70CB" w:rsidP="006E70CB">
      <w:pPr>
        <w:jc w:val="both"/>
        <w:rPr>
          <w:rFonts w:ascii="Times New Roman" w:hAnsi="Times New Roman" w:cs="Times New Roman"/>
        </w:rPr>
      </w:pPr>
      <w:r w:rsidRPr="001274AB">
        <w:rPr>
          <w:rFonts w:ascii="Times New Roman" w:hAnsi="Times New Roman" w:cs="Times New Roman"/>
        </w:rPr>
        <w:t>A GranBróker Kft. működésével és magatartásával is hozzájárul a rendeletben foglalt elvek és célok megvalósításához.</w:t>
      </w:r>
    </w:p>
    <w:p w:rsidR="00FA3455" w:rsidRPr="001274AB" w:rsidRDefault="00FA3455" w:rsidP="00FA3455">
      <w:pPr>
        <w:jc w:val="both"/>
        <w:rPr>
          <w:rFonts w:ascii="Times New Roman" w:hAnsi="Times New Roman" w:cs="Times New Roman"/>
        </w:rPr>
      </w:pPr>
      <w:r w:rsidRPr="001274AB">
        <w:rPr>
          <w:rFonts w:ascii="Times New Roman" w:hAnsi="Times New Roman" w:cs="Times New Roman"/>
        </w:rPr>
        <w:t>A biztosításközvetítést megelőző igényfelmérési szakaszban a Társaság képviselője köteles feltárni az ügyfél fenntarthatósági preferenciáit. A tanácsadó nem hozhat létre ajánlatot anélkül, hogy az ügyfél ne nyilatkozott volna arról, hogy:</w:t>
      </w:r>
    </w:p>
    <w:p w:rsidR="00FA3455" w:rsidRPr="001274AB" w:rsidRDefault="00FA3455" w:rsidP="00FA3455">
      <w:pPr>
        <w:numPr>
          <w:ilvl w:val="0"/>
          <w:numId w:val="46"/>
        </w:numPr>
        <w:jc w:val="both"/>
        <w:rPr>
          <w:rFonts w:ascii="Times New Roman" w:hAnsi="Times New Roman" w:cs="Times New Roman"/>
        </w:rPr>
      </w:pPr>
      <w:r w:rsidRPr="001274AB">
        <w:rPr>
          <w:rFonts w:ascii="Times New Roman" w:hAnsi="Times New Roman" w:cs="Times New Roman"/>
        </w:rPr>
        <w:t>Figyelembe kíván-e venni környezetvédelmi vagy társadalmi szempontokat a befektetése során.</w:t>
      </w:r>
    </w:p>
    <w:p w:rsidR="00FA3455" w:rsidRPr="001274AB" w:rsidRDefault="00FA3455" w:rsidP="00FA3455">
      <w:pPr>
        <w:numPr>
          <w:ilvl w:val="0"/>
          <w:numId w:val="46"/>
        </w:numPr>
        <w:jc w:val="both"/>
        <w:rPr>
          <w:rFonts w:ascii="Times New Roman" w:hAnsi="Times New Roman" w:cs="Times New Roman"/>
        </w:rPr>
      </w:pPr>
      <w:r w:rsidRPr="001274AB">
        <w:rPr>
          <w:rFonts w:ascii="Times New Roman" w:hAnsi="Times New Roman" w:cs="Times New Roman"/>
        </w:rPr>
        <w:t>Elvárja-e a fenntartható befektetések minimális arányát a portfólióban.</w:t>
      </w:r>
    </w:p>
    <w:p w:rsidR="00FA3455" w:rsidRPr="001274AB" w:rsidRDefault="00FA3455" w:rsidP="00FA3455">
      <w:pPr>
        <w:numPr>
          <w:ilvl w:val="0"/>
          <w:numId w:val="46"/>
        </w:numPr>
        <w:jc w:val="both"/>
        <w:rPr>
          <w:rFonts w:ascii="Times New Roman" w:hAnsi="Times New Roman" w:cs="Times New Roman"/>
        </w:rPr>
      </w:pPr>
      <w:r w:rsidRPr="001274AB">
        <w:rPr>
          <w:rFonts w:ascii="Times New Roman" w:hAnsi="Times New Roman" w:cs="Times New Roman"/>
        </w:rPr>
        <w:t>Kizárni kívánja-e a főbb káros hatásokat okozó gazdasági szektorokat (pl. fosszilis energiahordozók, fegyvergyártás).</w:t>
      </w:r>
    </w:p>
    <w:p w:rsidR="006E70CB" w:rsidRPr="001274AB" w:rsidRDefault="006E70CB" w:rsidP="006E70CB">
      <w:pPr>
        <w:jc w:val="both"/>
        <w:rPr>
          <w:rFonts w:ascii="Times New Roman" w:hAnsi="Times New Roman" w:cs="Times New Roman"/>
        </w:rPr>
      </w:pPr>
    </w:p>
    <w:p w:rsidR="0041202A" w:rsidRPr="001274AB" w:rsidRDefault="0041202A" w:rsidP="00EA29F3">
      <w:pPr>
        <w:jc w:val="both"/>
        <w:rPr>
          <w:rFonts w:ascii="Times New Roman" w:hAnsi="Times New Roman" w:cs="Times New Roman"/>
        </w:rPr>
      </w:pPr>
      <w:r w:rsidRPr="001274AB">
        <w:rPr>
          <w:rFonts w:ascii="Times New Roman" w:hAnsi="Times New Roman" w:cs="Times New Roman"/>
          <w:b/>
          <w:bCs/>
        </w:rPr>
        <w:t>Tárgyi befektetések</w:t>
      </w:r>
      <w:r w:rsidR="006E70CB" w:rsidRPr="001274AB">
        <w:rPr>
          <w:rFonts w:ascii="Times New Roman" w:hAnsi="Times New Roman" w:cs="Times New Roman"/>
        </w:rPr>
        <w:t xml:space="preserve"> az</w:t>
      </w:r>
      <w:r w:rsidR="006E70CB" w:rsidRPr="001274AB">
        <w:rPr>
          <w:rFonts w:ascii="Times New Roman" w:hAnsi="Times New Roman" w:cs="Times New Roman"/>
          <w:b/>
          <w:bCs/>
        </w:rPr>
        <w:t xml:space="preserve"> </w:t>
      </w:r>
      <w:r w:rsidR="006E70CB" w:rsidRPr="001274AB">
        <w:rPr>
          <w:rFonts w:ascii="Times New Roman" w:hAnsi="Times New Roman" w:cs="Times New Roman"/>
        </w:rPr>
        <w:t xml:space="preserve">olyan befektetési formák, ahol pénzügyi eszközök helyett valós, kézzel fogható javakat </w:t>
      </w:r>
      <w:r w:rsidR="00A2572A" w:rsidRPr="001274AB">
        <w:rPr>
          <w:rFonts w:ascii="Times New Roman" w:hAnsi="Times New Roman" w:cs="Times New Roman"/>
        </w:rPr>
        <w:t>vásároltunk</w:t>
      </w:r>
      <w:r w:rsidR="006E70CB" w:rsidRPr="001274AB">
        <w:rPr>
          <w:rFonts w:ascii="Times New Roman" w:hAnsi="Times New Roman" w:cs="Times New Roman"/>
        </w:rPr>
        <w:t>.</w:t>
      </w:r>
      <w:r w:rsidRPr="001274AB">
        <w:rPr>
          <w:rFonts w:ascii="Times New Roman" w:hAnsi="Times New Roman" w:cs="Times New Roman"/>
        </w:rPr>
        <w:t xml:space="preserve"> </w:t>
      </w:r>
      <w:r w:rsidR="006E70CB" w:rsidRPr="001274AB">
        <w:rPr>
          <w:rFonts w:ascii="Times New Roman" w:hAnsi="Times New Roman" w:cs="Times New Roman"/>
        </w:rPr>
        <w:t xml:space="preserve">Ilyen vásárlások során cégünk a következőket tartotta szem előtt: </w:t>
      </w:r>
      <w:r w:rsidR="00A2572A" w:rsidRPr="001274AB">
        <w:rPr>
          <w:rFonts w:ascii="Times New Roman" w:hAnsi="Times New Roman" w:cs="Times New Roman"/>
        </w:rPr>
        <w:t>elsősorban olyan cégtől szereztük be tárgyainkat, melyek hasonlóan feltüntették és érvényesítettek cégpolitkájukban a rendelet szabályozásában leírt elveket és célokat,</w:t>
      </w:r>
      <w:r w:rsidR="00A6737C" w:rsidRPr="001274AB">
        <w:rPr>
          <w:rFonts w:ascii="Times New Roman" w:hAnsi="Times New Roman" w:cs="Times New Roman"/>
        </w:rPr>
        <w:t xml:space="preserve"> termékeik megbízhatóak és hosszú </w:t>
      </w:r>
      <w:r w:rsidR="00484071" w:rsidRPr="001274AB">
        <w:rPr>
          <w:rFonts w:ascii="Times New Roman" w:hAnsi="Times New Roman" w:cs="Times New Roman"/>
        </w:rPr>
        <w:t>élettartamúak, továbbá</w:t>
      </w:r>
      <w:r w:rsidR="00A2572A" w:rsidRPr="001274AB">
        <w:rPr>
          <w:rFonts w:ascii="Times New Roman" w:hAnsi="Times New Roman" w:cs="Times New Roman"/>
        </w:rPr>
        <w:t xml:space="preserve"> döntéseink és a kivitelezés során is elsődleges szempont volt a környezetvédelem, az energiafogyasztás csökkentése, a komfortosabb életkörülmény és munkakörnyezet megteremtése. Például befektetéseink </w:t>
      </w:r>
      <w:r w:rsidRPr="001274AB">
        <w:rPr>
          <w:rFonts w:ascii="Times New Roman" w:hAnsi="Times New Roman" w:cs="Times New Roman"/>
        </w:rPr>
        <w:t>szigetelt, több rétegű nyílászárók</w:t>
      </w:r>
      <w:r w:rsidR="00A2572A" w:rsidRPr="001274AB">
        <w:rPr>
          <w:rFonts w:ascii="Times New Roman" w:hAnsi="Times New Roman" w:cs="Times New Roman"/>
        </w:rPr>
        <w:t xml:space="preserve"> felszerelésére irányultak melyek a kiváló hőszigetelésüknek, </w:t>
      </w:r>
      <w:r w:rsidR="00A2572A" w:rsidRPr="001274AB">
        <w:rPr>
          <w:rFonts w:ascii="Times New Roman" w:hAnsi="Times New Roman" w:cs="Times New Roman"/>
        </w:rPr>
        <w:lastRenderedPageBreak/>
        <w:t xml:space="preserve">hanggátlásuknak és energiahatékonyságuknak köszönhetően kulcsfontosságú szerepet játszanak a környezetvédelemben. </w:t>
      </w:r>
    </w:p>
    <w:p w:rsidR="00193C46" w:rsidRPr="001274AB" w:rsidRDefault="00193C46" w:rsidP="00EA29F3">
      <w:pPr>
        <w:jc w:val="both"/>
        <w:rPr>
          <w:rFonts w:ascii="Times New Roman" w:hAnsi="Times New Roman" w:cs="Times New Roman"/>
          <w:b/>
          <w:bCs/>
        </w:rPr>
      </w:pPr>
    </w:p>
    <w:p w:rsidR="0041202A" w:rsidRPr="001274AB" w:rsidRDefault="0041202A" w:rsidP="00EA29F3">
      <w:pPr>
        <w:jc w:val="both"/>
        <w:rPr>
          <w:rFonts w:ascii="Times New Roman" w:hAnsi="Times New Roman" w:cs="Times New Roman"/>
        </w:rPr>
      </w:pPr>
      <w:r w:rsidRPr="001274AB">
        <w:rPr>
          <w:rFonts w:ascii="Times New Roman" w:hAnsi="Times New Roman" w:cs="Times New Roman"/>
          <w:b/>
          <w:bCs/>
        </w:rPr>
        <w:t>Pénzügyi befektetések</w:t>
      </w:r>
      <w:r w:rsidR="00A2572A" w:rsidRPr="001274AB">
        <w:rPr>
          <w:rFonts w:ascii="Times New Roman" w:hAnsi="Times New Roman" w:cs="Times New Roman"/>
          <w:b/>
          <w:bCs/>
        </w:rPr>
        <w:t>kel</w:t>
      </w:r>
      <w:r w:rsidR="00A2572A" w:rsidRPr="001274AB">
        <w:rPr>
          <w:rFonts w:ascii="Times New Roman" w:hAnsi="Times New Roman" w:cs="Times New Roman"/>
        </w:rPr>
        <w:t xml:space="preserve"> cégünk nem rendelkezik.</w:t>
      </w:r>
    </w:p>
    <w:p w:rsidR="00A2572A" w:rsidRPr="001274AB" w:rsidRDefault="00A2572A" w:rsidP="00EA29F3">
      <w:pPr>
        <w:jc w:val="both"/>
        <w:rPr>
          <w:rFonts w:ascii="Times New Roman" w:hAnsi="Times New Roman" w:cs="Times New Roman"/>
        </w:rPr>
      </w:pPr>
      <w:r w:rsidRPr="001274AB">
        <w:rPr>
          <w:rFonts w:ascii="Times New Roman" w:hAnsi="Times New Roman" w:cs="Times New Roman"/>
        </w:rPr>
        <w:t xml:space="preserve">Cégünk folyamatosan gondoskodik arról, hogy </w:t>
      </w:r>
      <w:r w:rsidRPr="001274AB">
        <w:rPr>
          <w:rFonts w:ascii="Times New Roman" w:hAnsi="Times New Roman" w:cs="Times New Roman"/>
          <w:b/>
          <w:bCs/>
        </w:rPr>
        <w:t>javadalmazási rendszere</w:t>
      </w:r>
      <w:r w:rsidRPr="001274AB">
        <w:rPr>
          <w:rFonts w:ascii="Times New Roman" w:hAnsi="Times New Roman" w:cs="Times New Roman"/>
        </w:rPr>
        <w:t xml:space="preserve"> összhangban legyen a hatályos jogszabályokkal.</w:t>
      </w:r>
    </w:p>
    <w:p w:rsidR="00A2572A" w:rsidRPr="001274AB" w:rsidRDefault="00A2572A" w:rsidP="0041202A">
      <w:pPr>
        <w:jc w:val="both"/>
        <w:rPr>
          <w:rFonts w:ascii="Times New Roman" w:hAnsi="Times New Roman" w:cs="Times New Roman"/>
        </w:rPr>
      </w:pPr>
    </w:p>
    <w:p w:rsidR="00A2572A" w:rsidRPr="001274AB" w:rsidRDefault="0041202A" w:rsidP="00122975">
      <w:pPr>
        <w:pStyle w:val="Listaszerbekezds"/>
        <w:numPr>
          <w:ilvl w:val="0"/>
          <w:numId w:val="32"/>
        </w:numPr>
        <w:ind w:left="284"/>
        <w:jc w:val="both"/>
        <w:rPr>
          <w:rFonts w:ascii="Times New Roman" w:hAnsi="Times New Roman" w:cs="Times New Roman"/>
        </w:rPr>
      </w:pPr>
      <w:r w:rsidRPr="001274AB">
        <w:rPr>
          <w:rFonts w:ascii="Times New Roman" w:hAnsi="Times New Roman" w:cs="Times New Roman"/>
        </w:rPr>
        <w:t xml:space="preserve"> </w:t>
      </w:r>
      <w:r w:rsidR="00A2572A" w:rsidRPr="001274AB">
        <w:rPr>
          <w:rFonts w:ascii="Times New Roman" w:hAnsi="Times New Roman" w:cs="Times New Roman"/>
        </w:rPr>
        <w:t>A vállalat munkafolyamataiba integrálta a fenntarthatóságot, figyelembe véve a jogszabályokat, előírásokat és biztosítói szerződéseket.</w:t>
      </w:r>
    </w:p>
    <w:p w:rsidR="00927A0B" w:rsidRPr="001274AB" w:rsidRDefault="00927A0B" w:rsidP="00927A0B">
      <w:pPr>
        <w:pStyle w:val="Listaszerbekezds"/>
        <w:numPr>
          <w:ilvl w:val="0"/>
          <w:numId w:val="34"/>
        </w:numPr>
        <w:jc w:val="both"/>
        <w:rPr>
          <w:rFonts w:ascii="Times New Roman" w:hAnsi="Times New Roman" w:cs="Times New Roman"/>
        </w:rPr>
      </w:pPr>
      <w:r w:rsidRPr="001274AB">
        <w:rPr>
          <w:rFonts w:ascii="Times New Roman" w:hAnsi="Times New Roman" w:cs="Times New Roman"/>
        </w:rPr>
        <w:t xml:space="preserve">A </w:t>
      </w:r>
      <w:r w:rsidRPr="001274AB">
        <w:rPr>
          <w:rFonts w:ascii="Times New Roman" w:hAnsi="Times New Roman" w:cs="Times New Roman"/>
          <w:b/>
          <w:bCs/>
        </w:rPr>
        <w:t>papírmentes</w:t>
      </w:r>
      <w:r w:rsidRPr="001274AB">
        <w:rPr>
          <w:rFonts w:ascii="Times New Roman" w:hAnsi="Times New Roman" w:cs="Times New Roman"/>
        </w:rPr>
        <w:t xml:space="preserve"> működés bevezetésre került, és jelenleg is fejlesztés alatt áll.</w:t>
      </w:r>
    </w:p>
    <w:p w:rsidR="00927A0B" w:rsidRPr="001274AB" w:rsidRDefault="00927A0B" w:rsidP="00927A0B">
      <w:pPr>
        <w:pStyle w:val="Listaszerbekezds"/>
        <w:numPr>
          <w:ilvl w:val="0"/>
          <w:numId w:val="34"/>
        </w:numPr>
        <w:jc w:val="both"/>
        <w:rPr>
          <w:rFonts w:ascii="Times New Roman" w:hAnsi="Times New Roman" w:cs="Times New Roman"/>
        </w:rPr>
      </w:pPr>
      <w:r w:rsidRPr="001274AB">
        <w:rPr>
          <w:rFonts w:ascii="Times New Roman" w:hAnsi="Times New Roman" w:cs="Times New Roman"/>
        </w:rPr>
        <w:t xml:space="preserve">A biztosítási szektorban megfigyelhető trend, alapján az ügyfelek az online kötési folyamatokat részesítik előnyben. Ennek megfelelően a biztosítási feltételek átadása is szinte teljes mértékben </w:t>
      </w:r>
      <w:r w:rsidRPr="001274AB">
        <w:rPr>
          <w:rFonts w:ascii="Times New Roman" w:hAnsi="Times New Roman" w:cs="Times New Roman"/>
          <w:b/>
          <w:bCs/>
        </w:rPr>
        <w:t>elektronikus úton</w:t>
      </w:r>
      <w:r w:rsidRPr="001274AB">
        <w:rPr>
          <w:rFonts w:ascii="Times New Roman" w:hAnsi="Times New Roman" w:cs="Times New Roman"/>
        </w:rPr>
        <w:t xml:space="preserve"> történik.</w:t>
      </w:r>
    </w:p>
    <w:p w:rsidR="00927A0B" w:rsidRPr="001274AB" w:rsidRDefault="00927A0B" w:rsidP="00927A0B">
      <w:pPr>
        <w:pStyle w:val="Listaszerbekezds"/>
        <w:numPr>
          <w:ilvl w:val="0"/>
          <w:numId w:val="34"/>
        </w:numPr>
        <w:jc w:val="both"/>
        <w:rPr>
          <w:rFonts w:ascii="Times New Roman" w:hAnsi="Times New Roman" w:cs="Times New Roman"/>
        </w:rPr>
      </w:pPr>
      <w:r w:rsidRPr="001274AB">
        <w:rPr>
          <w:rFonts w:ascii="Times New Roman" w:hAnsi="Times New Roman" w:cs="Times New Roman"/>
        </w:rPr>
        <w:t xml:space="preserve">A papíralapú dokumentumoknál a környezettudatosság jegyében már évek óta </w:t>
      </w:r>
      <w:r w:rsidRPr="001274AB">
        <w:rPr>
          <w:rFonts w:ascii="Times New Roman" w:hAnsi="Times New Roman" w:cs="Times New Roman"/>
          <w:b/>
          <w:bCs/>
        </w:rPr>
        <w:t xml:space="preserve">kétoldalas </w:t>
      </w:r>
      <w:r w:rsidRPr="001274AB">
        <w:rPr>
          <w:rFonts w:ascii="Times New Roman" w:hAnsi="Times New Roman" w:cs="Times New Roman"/>
        </w:rPr>
        <w:t>nyomtatási eljárást alkalmazunk.</w:t>
      </w:r>
    </w:p>
    <w:p w:rsidR="00927A0B" w:rsidRPr="001274AB" w:rsidRDefault="00927A0B" w:rsidP="00927A0B">
      <w:pPr>
        <w:pStyle w:val="Listaszerbekezds"/>
        <w:numPr>
          <w:ilvl w:val="0"/>
          <w:numId w:val="34"/>
        </w:numPr>
        <w:jc w:val="both"/>
        <w:rPr>
          <w:rFonts w:ascii="Times New Roman" w:hAnsi="Times New Roman" w:cs="Times New Roman"/>
        </w:rPr>
      </w:pPr>
      <w:r w:rsidRPr="001274AB">
        <w:rPr>
          <w:rFonts w:ascii="Times New Roman" w:hAnsi="Times New Roman" w:cs="Times New Roman"/>
        </w:rPr>
        <w:t xml:space="preserve">Bevezetésre kerültek a </w:t>
      </w:r>
      <w:r w:rsidRPr="001274AB">
        <w:rPr>
          <w:rFonts w:ascii="Times New Roman" w:hAnsi="Times New Roman" w:cs="Times New Roman"/>
          <w:b/>
          <w:bCs/>
        </w:rPr>
        <w:t xml:space="preserve">környezetbarát tisztítószerek, </w:t>
      </w:r>
      <w:r w:rsidRPr="001274AB">
        <w:rPr>
          <w:rFonts w:ascii="Times New Roman" w:hAnsi="Times New Roman" w:cs="Times New Roman"/>
        </w:rPr>
        <w:t>amik általában növényi alapú összetevőkből készülnek, így kíméletesebbek a bőrhöz és kevésbé terhelik a környezetet. További előnyük, hogy gyártásuk során kevesebb energiát fogyasztanak és csomagolásuk is gyakran újrahasznosítható vagy lebomló anyagokból készül.</w:t>
      </w:r>
    </w:p>
    <w:p w:rsidR="00927A0B" w:rsidRPr="001274AB" w:rsidRDefault="00927A0B" w:rsidP="00927A0B">
      <w:pPr>
        <w:pStyle w:val="Listaszerbekezds"/>
        <w:numPr>
          <w:ilvl w:val="0"/>
          <w:numId w:val="34"/>
        </w:numPr>
        <w:jc w:val="both"/>
        <w:rPr>
          <w:rFonts w:ascii="Times New Roman" w:hAnsi="Times New Roman" w:cs="Times New Roman"/>
        </w:rPr>
      </w:pPr>
      <w:r w:rsidRPr="001274AB">
        <w:rPr>
          <w:rFonts w:ascii="Times New Roman" w:hAnsi="Times New Roman" w:cs="Times New Roman"/>
        </w:rPr>
        <w:t xml:space="preserve">Irodánkban lecseréltük a hagyományos izzókat </w:t>
      </w:r>
      <w:r w:rsidRPr="001274AB">
        <w:rPr>
          <w:rFonts w:ascii="Times New Roman" w:hAnsi="Times New Roman" w:cs="Times New Roman"/>
          <w:b/>
          <w:bCs/>
        </w:rPr>
        <w:t>energiatakarékos LED-ekre.</w:t>
      </w:r>
    </w:p>
    <w:p w:rsidR="00927A0B" w:rsidRPr="001274AB" w:rsidRDefault="00927A0B" w:rsidP="00927A0B">
      <w:pPr>
        <w:pStyle w:val="Listaszerbekezds"/>
        <w:numPr>
          <w:ilvl w:val="0"/>
          <w:numId w:val="34"/>
        </w:numPr>
        <w:jc w:val="both"/>
        <w:rPr>
          <w:rFonts w:ascii="Times New Roman" w:hAnsi="Times New Roman" w:cs="Times New Roman"/>
        </w:rPr>
      </w:pPr>
      <w:r w:rsidRPr="001274AB">
        <w:rPr>
          <w:rFonts w:ascii="Times New Roman" w:hAnsi="Times New Roman" w:cs="Times New Roman"/>
          <w:b/>
          <w:bCs/>
        </w:rPr>
        <w:t xml:space="preserve">Vízfogyasztás optimalizálása érdekében </w:t>
      </w:r>
      <w:r w:rsidRPr="001274AB">
        <w:rPr>
          <w:rFonts w:ascii="Times New Roman" w:hAnsi="Times New Roman" w:cs="Times New Roman"/>
        </w:rPr>
        <w:t>csökkentettük a vízfogyasztást a csöpögő csapok kijavításával</w:t>
      </w:r>
    </w:p>
    <w:p w:rsidR="00EA29F3" w:rsidRPr="001274AB" w:rsidRDefault="00EA29F3" w:rsidP="00927A0B">
      <w:pPr>
        <w:pStyle w:val="Listaszerbekezds"/>
        <w:numPr>
          <w:ilvl w:val="0"/>
          <w:numId w:val="34"/>
        </w:numPr>
        <w:jc w:val="both"/>
        <w:rPr>
          <w:rFonts w:ascii="Times New Roman" w:hAnsi="Times New Roman" w:cs="Times New Roman"/>
        </w:rPr>
      </w:pPr>
      <w:r w:rsidRPr="001274AB">
        <w:rPr>
          <w:rFonts w:ascii="Times New Roman" w:hAnsi="Times New Roman" w:cs="Times New Roman"/>
          <w:b/>
          <w:bCs/>
        </w:rPr>
        <w:t xml:space="preserve">Irodaszerek tekintetében </w:t>
      </w:r>
      <w:r w:rsidRPr="001274AB">
        <w:rPr>
          <w:rFonts w:ascii="Times New Roman" w:hAnsi="Times New Roman" w:cs="Times New Roman"/>
        </w:rPr>
        <w:t>újrahasznosított papírból készült irodaszereket igyekszünk előnyben részesíteni</w:t>
      </w:r>
    </w:p>
    <w:p w:rsidR="0041202A" w:rsidRPr="001274AB" w:rsidRDefault="0041202A" w:rsidP="0041202A">
      <w:pPr>
        <w:jc w:val="both"/>
        <w:rPr>
          <w:rFonts w:ascii="Times New Roman" w:hAnsi="Times New Roman" w:cs="Times New Roman"/>
        </w:rPr>
      </w:pPr>
    </w:p>
    <w:p w:rsidR="0041202A" w:rsidRPr="001274AB" w:rsidRDefault="0041202A" w:rsidP="00122975">
      <w:pPr>
        <w:pStyle w:val="Listaszerbekezds"/>
        <w:numPr>
          <w:ilvl w:val="0"/>
          <w:numId w:val="32"/>
        </w:numPr>
        <w:ind w:left="284"/>
        <w:jc w:val="both"/>
        <w:rPr>
          <w:rFonts w:ascii="Times New Roman" w:hAnsi="Times New Roman" w:cs="Times New Roman"/>
        </w:rPr>
      </w:pPr>
      <w:r w:rsidRPr="001274AB">
        <w:rPr>
          <w:rFonts w:ascii="Times New Roman" w:hAnsi="Times New Roman" w:cs="Times New Roman"/>
        </w:rPr>
        <w:t>A közzétételi rendelet a biztosításon belül a megtakarításos/befektetési életbiztosításokat érinti.</w:t>
      </w:r>
      <w:r w:rsidR="009D4B2E" w:rsidRPr="001274AB">
        <w:rPr>
          <w:rFonts w:ascii="Times New Roman" w:hAnsi="Times New Roman" w:cs="Times New Roman"/>
        </w:rPr>
        <w:t xml:space="preserve"> Cégünk </w:t>
      </w:r>
      <w:r w:rsidRPr="001274AB">
        <w:rPr>
          <w:rFonts w:ascii="Times New Roman" w:hAnsi="Times New Roman" w:cs="Times New Roman"/>
        </w:rPr>
        <w:t xml:space="preserve">20 biztosítóval </w:t>
      </w:r>
      <w:r w:rsidR="009D4B2E" w:rsidRPr="001274AB">
        <w:rPr>
          <w:rFonts w:ascii="Times New Roman" w:hAnsi="Times New Roman" w:cs="Times New Roman"/>
        </w:rPr>
        <w:t>van rendszeres kapcsolatban.</w:t>
      </w:r>
    </w:p>
    <w:p w:rsidR="00122975" w:rsidRPr="001274AB" w:rsidRDefault="009D4B2E" w:rsidP="00193C46">
      <w:pPr>
        <w:pStyle w:val="Listaszerbekezds"/>
        <w:ind w:left="0"/>
        <w:jc w:val="both"/>
        <w:rPr>
          <w:rFonts w:ascii="Times New Roman" w:hAnsi="Times New Roman" w:cs="Times New Roman"/>
        </w:rPr>
      </w:pPr>
      <w:r w:rsidRPr="001274AB">
        <w:rPr>
          <w:rFonts w:ascii="Times New Roman" w:hAnsi="Times New Roman" w:cs="Times New Roman"/>
        </w:rPr>
        <w:t xml:space="preserve">Ügyfeleinknek több biztosító által kínált befektetési termékek széles választékát biztosítjuk. </w:t>
      </w:r>
      <w:r w:rsidR="0041202A" w:rsidRPr="001274AB">
        <w:rPr>
          <w:rFonts w:ascii="Times New Roman" w:hAnsi="Times New Roman" w:cs="Times New Roman"/>
        </w:rPr>
        <w:t xml:space="preserve">Jelenlegi </w:t>
      </w:r>
      <w:r w:rsidR="00193C46" w:rsidRPr="001274AB">
        <w:rPr>
          <w:rFonts w:ascii="Times New Roman" w:hAnsi="Times New Roman" w:cs="Times New Roman"/>
        </w:rPr>
        <w:t>biztosítók,</w:t>
      </w:r>
      <w:r w:rsidRPr="001274AB">
        <w:rPr>
          <w:rFonts w:ascii="Times New Roman" w:hAnsi="Times New Roman" w:cs="Times New Roman"/>
        </w:rPr>
        <w:t xml:space="preserve"> akikkel cégünk kapcsolatban van</w:t>
      </w:r>
      <w:r w:rsidR="0041202A" w:rsidRPr="001274AB">
        <w:rPr>
          <w:rFonts w:ascii="Times New Roman" w:hAnsi="Times New Roman" w:cs="Times New Roman"/>
        </w:rPr>
        <w:t>: A</w:t>
      </w:r>
      <w:r w:rsidR="00193C46" w:rsidRPr="001274AB">
        <w:rPr>
          <w:rFonts w:ascii="Times New Roman" w:hAnsi="Times New Roman" w:cs="Times New Roman"/>
        </w:rPr>
        <w:t>lfa</w:t>
      </w:r>
      <w:r w:rsidR="0041202A" w:rsidRPr="001274AB">
        <w:rPr>
          <w:rFonts w:ascii="Times New Roman" w:hAnsi="Times New Roman" w:cs="Times New Roman"/>
        </w:rPr>
        <w:t>, Allianz, CIG Életbiztosító, Generali, SIGNAL IDUNA, UNION, Uniqa)</w:t>
      </w:r>
      <w:r w:rsidRPr="001274AB">
        <w:rPr>
          <w:rFonts w:ascii="Times New Roman" w:hAnsi="Times New Roman" w:cs="Times New Roman"/>
        </w:rPr>
        <w:t xml:space="preserve">. </w:t>
      </w:r>
    </w:p>
    <w:p w:rsidR="00122975" w:rsidRPr="001274AB" w:rsidRDefault="00122975" w:rsidP="00122975">
      <w:pPr>
        <w:pStyle w:val="Listaszerbekezds"/>
        <w:ind w:left="284"/>
        <w:jc w:val="both"/>
        <w:rPr>
          <w:rFonts w:ascii="Times New Roman" w:hAnsi="Times New Roman" w:cs="Times New Roman"/>
        </w:rPr>
      </w:pPr>
    </w:p>
    <w:p w:rsidR="0041202A" w:rsidRPr="001274AB" w:rsidRDefault="009D4B2E" w:rsidP="00193C46">
      <w:pPr>
        <w:pStyle w:val="Listaszerbekezds"/>
        <w:ind w:left="0"/>
        <w:jc w:val="both"/>
        <w:rPr>
          <w:rFonts w:ascii="Times New Roman" w:hAnsi="Times New Roman" w:cs="Times New Roman"/>
        </w:rPr>
      </w:pPr>
      <w:r w:rsidRPr="001274AB">
        <w:rPr>
          <w:rFonts w:ascii="Times New Roman" w:hAnsi="Times New Roman" w:cs="Times New Roman"/>
        </w:rPr>
        <w:t>Az adott biztosító által kidolgozott értékesítési folyamatok és dokumentációs követelmények teljes körű betartásával biztosítjuk a termékek zökkenőmentes forgalmazását.</w:t>
      </w:r>
      <w:r w:rsidR="00122975" w:rsidRPr="001274AB">
        <w:rPr>
          <w:rFonts w:ascii="Times New Roman" w:hAnsi="Times New Roman" w:cs="Times New Roman"/>
        </w:rPr>
        <w:t xml:space="preserve"> </w:t>
      </w:r>
      <w:r w:rsidR="0041202A" w:rsidRPr="001274AB">
        <w:rPr>
          <w:rFonts w:ascii="Times New Roman" w:hAnsi="Times New Roman" w:cs="Times New Roman"/>
        </w:rPr>
        <w:t>Ezen termékek kiajánlás</w:t>
      </w:r>
      <w:r w:rsidR="00122975" w:rsidRPr="001274AB">
        <w:rPr>
          <w:rFonts w:ascii="Times New Roman" w:hAnsi="Times New Roman" w:cs="Times New Roman"/>
        </w:rPr>
        <w:t>ával</w:t>
      </w:r>
      <w:r w:rsidR="0041202A" w:rsidRPr="001274AB">
        <w:rPr>
          <w:rFonts w:ascii="Times New Roman" w:hAnsi="Times New Roman" w:cs="Times New Roman"/>
        </w:rPr>
        <w:t xml:space="preserve"> vagy megkötésénél eljárásunkat jelen szabályzat további szakasza</w:t>
      </w:r>
      <w:r w:rsidR="00122975" w:rsidRPr="001274AB">
        <w:rPr>
          <w:rFonts w:ascii="Times New Roman" w:hAnsi="Times New Roman" w:cs="Times New Roman"/>
        </w:rPr>
        <w:t>i</w:t>
      </w:r>
      <w:r w:rsidR="0041202A" w:rsidRPr="001274AB">
        <w:rPr>
          <w:rFonts w:ascii="Times New Roman" w:hAnsi="Times New Roman" w:cs="Times New Roman"/>
        </w:rPr>
        <w:t xml:space="preserve"> tartalmazza.</w:t>
      </w:r>
    </w:p>
    <w:p w:rsidR="0041202A" w:rsidRPr="001274AB" w:rsidRDefault="0041202A" w:rsidP="00193C46">
      <w:pPr>
        <w:jc w:val="both"/>
        <w:rPr>
          <w:rFonts w:ascii="Times New Roman" w:hAnsi="Times New Roman" w:cs="Times New Roman"/>
        </w:rPr>
      </w:pPr>
    </w:p>
    <w:p w:rsidR="0041202A" w:rsidRPr="001274AB" w:rsidRDefault="0041202A" w:rsidP="00193C46">
      <w:pPr>
        <w:jc w:val="both"/>
        <w:rPr>
          <w:rFonts w:ascii="Times New Roman" w:hAnsi="Times New Roman" w:cs="Times New Roman"/>
        </w:rPr>
      </w:pPr>
      <w:r w:rsidRPr="001274AB">
        <w:rPr>
          <w:rFonts w:ascii="Times New Roman" w:hAnsi="Times New Roman" w:cs="Times New Roman"/>
        </w:rPr>
        <w:t>Jelen eljárási rend, a</w:t>
      </w:r>
      <w:r w:rsidR="00122975" w:rsidRPr="001274AB">
        <w:rPr>
          <w:rFonts w:ascii="Times New Roman" w:hAnsi="Times New Roman" w:cs="Times New Roman"/>
        </w:rPr>
        <w:t xml:space="preserve">z SFDR rendelet </w:t>
      </w:r>
      <w:r w:rsidRPr="001274AB">
        <w:rPr>
          <w:rFonts w:ascii="Times New Roman" w:hAnsi="Times New Roman" w:cs="Times New Roman"/>
        </w:rPr>
        <w:t>4. cikk 5 bekezdésének eleget téve GranBróker Független Biztosításközvetítő Kft a korábban fels</w:t>
      </w:r>
      <w:r w:rsidR="00BB5E6F">
        <w:rPr>
          <w:rFonts w:ascii="Times New Roman" w:hAnsi="Times New Roman" w:cs="Times New Roman"/>
        </w:rPr>
        <w:t>orolt biztosítók megtakarításos</w:t>
      </w:r>
      <w:r w:rsidRPr="001274AB">
        <w:rPr>
          <w:rFonts w:ascii="Times New Roman" w:hAnsi="Times New Roman" w:cs="Times New Roman"/>
        </w:rPr>
        <w:t xml:space="preserve">/ befektetéses termékeivel kapcsolatban tanácsadást nyújt, kiemelve a fenntarthatósági tényezőkre gyakorolt főbb káros hatásokat. </w:t>
      </w:r>
    </w:p>
    <w:p w:rsidR="0041202A" w:rsidRPr="001274AB" w:rsidRDefault="0041202A" w:rsidP="00193C46">
      <w:pPr>
        <w:jc w:val="both"/>
        <w:rPr>
          <w:rFonts w:ascii="Times New Roman" w:hAnsi="Times New Roman" w:cs="Times New Roman"/>
        </w:rPr>
      </w:pPr>
    </w:p>
    <w:p w:rsidR="0041202A" w:rsidRPr="001274AB" w:rsidRDefault="0041202A" w:rsidP="00193C46">
      <w:pPr>
        <w:jc w:val="both"/>
        <w:rPr>
          <w:rFonts w:ascii="Times New Roman" w:hAnsi="Times New Roman" w:cs="Times New Roman"/>
        </w:rPr>
      </w:pPr>
      <w:r w:rsidRPr="001274AB">
        <w:rPr>
          <w:rFonts w:ascii="Times New Roman" w:hAnsi="Times New Roman" w:cs="Times New Roman"/>
        </w:rPr>
        <w:t>Az egyes termékek név szerinti felsorolását az 1. sz. melléklet tartalmazza.</w:t>
      </w:r>
    </w:p>
    <w:p w:rsidR="007A2EDA" w:rsidRPr="001274AB" w:rsidRDefault="001274AB" w:rsidP="00914B20">
      <w:pPr>
        <w:pStyle w:val="Cmsor1"/>
        <w:rPr>
          <w:rFonts w:ascii="Times New Roman" w:hAnsi="Times New Roman" w:cs="Times New Roman"/>
          <w:sz w:val="32"/>
          <w:szCs w:val="32"/>
        </w:rPr>
      </w:pPr>
      <w:bookmarkStart w:id="11" w:name="_Toc231908638"/>
      <w:bookmarkStart w:id="12" w:name="_Toc174028365"/>
      <w:bookmarkStart w:id="13" w:name="_Toc174454783"/>
      <w:r>
        <w:rPr>
          <w:rFonts w:ascii="Times New Roman" w:hAnsi="Times New Roman" w:cs="Times New Roman"/>
          <w:sz w:val="32"/>
          <w:szCs w:val="32"/>
        </w:rPr>
        <w:t>A fenntarthatóságra gya</w:t>
      </w:r>
      <w:r w:rsidR="00BB5E6F">
        <w:rPr>
          <w:rFonts w:ascii="Times New Roman" w:hAnsi="Times New Roman" w:cs="Times New Roman"/>
          <w:sz w:val="32"/>
          <w:szCs w:val="32"/>
        </w:rPr>
        <w:t>korolt káros hatások kezelése (</w:t>
      </w:r>
      <w:r>
        <w:rPr>
          <w:rFonts w:ascii="Times New Roman" w:hAnsi="Times New Roman" w:cs="Times New Roman"/>
          <w:sz w:val="32"/>
          <w:szCs w:val="32"/>
        </w:rPr>
        <w:t>SFDR 4.cikk)</w:t>
      </w:r>
      <w:bookmarkEnd w:id="11"/>
      <w:r>
        <w:rPr>
          <w:rFonts w:ascii="Times New Roman" w:hAnsi="Times New Roman" w:cs="Times New Roman"/>
          <w:sz w:val="32"/>
          <w:szCs w:val="32"/>
        </w:rPr>
        <w:t xml:space="preserve"> </w:t>
      </w:r>
    </w:p>
    <w:p w:rsidR="007A2EDA" w:rsidRPr="001274AB" w:rsidRDefault="007A2EDA" w:rsidP="007A2EDA">
      <w:pPr>
        <w:rPr>
          <w:rFonts w:ascii="Times New Roman" w:hAnsi="Times New Roman" w:cs="Times New Roman"/>
        </w:rPr>
      </w:pPr>
    </w:p>
    <w:p w:rsidR="007A2EDA" w:rsidRPr="001274AB" w:rsidRDefault="007A2EDA" w:rsidP="007A2EDA">
      <w:pPr>
        <w:jc w:val="both"/>
        <w:rPr>
          <w:rFonts w:ascii="Times New Roman" w:hAnsi="Times New Roman" w:cs="Times New Roman"/>
        </w:rPr>
      </w:pPr>
      <w:r w:rsidRPr="001274AB">
        <w:rPr>
          <w:rFonts w:ascii="Times New Roman" w:hAnsi="Times New Roman" w:cs="Times New Roman"/>
        </w:rPr>
        <w:t xml:space="preserve">Hivatalos nyilatkozat a főbb káros hatások (PAI) figyelembevételéről. A Társaság a biztosítási alapú befektetési termékekre vonatkozó tanácsadása során – az SFDR 4. cikk (5) bekezdésének b) pontjával összhangban – jelenleg </w:t>
      </w:r>
      <w:r w:rsidRPr="001274AB">
        <w:rPr>
          <w:rFonts w:ascii="Times New Roman" w:hAnsi="Times New Roman" w:cs="Times New Roman"/>
          <w:b/>
          <w:bCs/>
        </w:rPr>
        <w:t>nem veszi figyelembe</w:t>
      </w:r>
      <w:r w:rsidRPr="001274AB">
        <w:rPr>
          <w:rFonts w:ascii="Times New Roman" w:hAnsi="Times New Roman" w:cs="Times New Roman"/>
        </w:rPr>
        <w:t xml:space="preserve"> a befektetési döntéseknek a fenntarthatósági tényezőkre gyakorolt főbb káros hatásait (PAI - Principal </w:t>
      </w:r>
      <w:r w:rsidRPr="001274AB">
        <w:rPr>
          <w:rFonts w:ascii="Times New Roman" w:hAnsi="Times New Roman" w:cs="Times New Roman"/>
        </w:rPr>
        <w:lastRenderedPageBreak/>
        <w:t>Adverse Impacts). E döntés indoka a Társaság mérete, korlátozott erőforrásai, valamint az a körülmény, hogy a biztosító partnerek által szolgáltatott fenntarthatósági adatok struktúrája és mélysége jelenleg még nem mutat egységes képet a független közvetítői szintű, összesített elemzések elvégzéséhez. A Társaság a piaci és jogszabályi környezetet folyamatosan monitorozza, és a jelen döntését évente felülvizsgálja.</w:t>
      </w:r>
    </w:p>
    <w:p w:rsidR="00001B52" w:rsidRPr="001274AB" w:rsidRDefault="001274AB" w:rsidP="00914B20">
      <w:pPr>
        <w:pStyle w:val="Cmsor1"/>
        <w:rPr>
          <w:rFonts w:ascii="Times New Roman" w:hAnsi="Times New Roman" w:cs="Times New Roman"/>
          <w:sz w:val="32"/>
          <w:szCs w:val="32"/>
        </w:rPr>
      </w:pPr>
      <w:bookmarkStart w:id="14" w:name="_Toc231908639"/>
      <w:r>
        <w:rPr>
          <w:rFonts w:ascii="Times New Roman" w:hAnsi="Times New Roman" w:cs="Times New Roman"/>
          <w:sz w:val="32"/>
          <w:szCs w:val="32"/>
        </w:rPr>
        <w:t>Javadalmazási politika és fenntarthatóság (SFDR. 5. cikk)</w:t>
      </w:r>
      <w:bookmarkEnd w:id="14"/>
      <w:r>
        <w:rPr>
          <w:rFonts w:ascii="Times New Roman" w:hAnsi="Times New Roman" w:cs="Times New Roman"/>
          <w:sz w:val="32"/>
          <w:szCs w:val="32"/>
        </w:rPr>
        <w:t xml:space="preserve"> </w:t>
      </w:r>
    </w:p>
    <w:p w:rsidR="00001B52" w:rsidRPr="001274AB" w:rsidRDefault="00001B52" w:rsidP="00001B52">
      <w:pPr>
        <w:rPr>
          <w:rFonts w:ascii="Times New Roman" w:hAnsi="Times New Roman" w:cs="Times New Roman"/>
        </w:rPr>
      </w:pPr>
    </w:p>
    <w:p w:rsidR="00001B52" w:rsidRPr="001274AB" w:rsidRDefault="00001B52" w:rsidP="00001B52">
      <w:pPr>
        <w:jc w:val="both"/>
        <w:rPr>
          <w:rFonts w:ascii="Times New Roman" w:hAnsi="Times New Roman" w:cs="Times New Roman"/>
          <w:b/>
          <w:bCs/>
        </w:rPr>
      </w:pPr>
      <w:r w:rsidRPr="001274AB">
        <w:rPr>
          <w:rFonts w:ascii="Times New Roman" w:hAnsi="Times New Roman" w:cs="Times New Roman"/>
          <w:b/>
          <w:bCs/>
        </w:rPr>
        <w:t>A jutalékrendszer és az ESG kockázatok kapcsolata</w:t>
      </w:r>
    </w:p>
    <w:p w:rsidR="00001B52" w:rsidRPr="001274AB" w:rsidRDefault="00001B52" w:rsidP="00001B52">
      <w:pPr>
        <w:jc w:val="both"/>
        <w:rPr>
          <w:rFonts w:ascii="Times New Roman" w:hAnsi="Times New Roman" w:cs="Times New Roman"/>
        </w:rPr>
      </w:pPr>
      <w:r w:rsidRPr="001274AB">
        <w:rPr>
          <w:rFonts w:ascii="Times New Roman" w:hAnsi="Times New Roman" w:cs="Times New Roman"/>
        </w:rPr>
        <w:t>A Társaság kijelenti, hogy a hatályos Javadalmazási Politikája teljes mértékben összhangban van a fenntarthatósági kockázatok integrálásával. A Társaság által alkalmazott ösztönzési és jutalék-visszaosztási rendszerek nem ösztönöznek olyan magatartásra, amely növelné a fenntarthatósági kockázatokat a pénzügyi hozamok rövid távú maximalizálása érdekében.</w:t>
      </w:r>
    </w:p>
    <w:p w:rsidR="00001B52" w:rsidRPr="001274AB" w:rsidRDefault="00001B52" w:rsidP="00001B52">
      <w:pPr>
        <w:jc w:val="both"/>
        <w:rPr>
          <w:rFonts w:ascii="Times New Roman" w:hAnsi="Times New Roman" w:cs="Times New Roman"/>
        </w:rPr>
      </w:pPr>
    </w:p>
    <w:p w:rsidR="00001B52" w:rsidRPr="001274AB" w:rsidRDefault="00001B52" w:rsidP="00001B52">
      <w:pPr>
        <w:jc w:val="both"/>
        <w:rPr>
          <w:rFonts w:ascii="Times New Roman" w:hAnsi="Times New Roman" w:cs="Times New Roman"/>
          <w:b/>
          <w:bCs/>
        </w:rPr>
      </w:pPr>
      <w:r w:rsidRPr="001274AB">
        <w:rPr>
          <w:rFonts w:ascii="Times New Roman" w:hAnsi="Times New Roman" w:cs="Times New Roman"/>
          <w:b/>
          <w:bCs/>
        </w:rPr>
        <w:t>Az összeférhetetlenség és a torzítás megelőzése</w:t>
      </w:r>
    </w:p>
    <w:p w:rsidR="00001B52" w:rsidRPr="001274AB" w:rsidRDefault="00001B52" w:rsidP="00001B52">
      <w:pPr>
        <w:jc w:val="both"/>
        <w:rPr>
          <w:rFonts w:ascii="Times New Roman" w:hAnsi="Times New Roman" w:cs="Times New Roman"/>
        </w:rPr>
      </w:pPr>
      <w:r w:rsidRPr="001274AB">
        <w:rPr>
          <w:rFonts w:ascii="Times New Roman" w:hAnsi="Times New Roman" w:cs="Times New Roman"/>
        </w:rPr>
        <w:t>A független közvetítői objektivitás megőrzése érdekében a Társaság garantálja, hogy:</w:t>
      </w:r>
    </w:p>
    <w:p w:rsidR="00001B52" w:rsidRPr="001274AB" w:rsidRDefault="00001B52" w:rsidP="00001B52">
      <w:pPr>
        <w:numPr>
          <w:ilvl w:val="0"/>
          <w:numId w:val="47"/>
        </w:numPr>
        <w:jc w:val="both"/>
        <w:rPr>
          <w:rFonts w:ascii="Times New Roman" w:hAnsi="Times New Roman" w:cs="Times New Roman"/>
        </w:rPr>
      </w:pPr>
      <w:r w:rsidRPr="001274AB">
        <w:rPr>
          <w:rFonts w:ascii="Times New Roman" w:hAnsi="Times New Roman" w:cs="Times New Roman"/>
        </w:rPr>
        <w:t>A tanácsadók javadalmazása (jutaléka) nem függ az adott termék SFDR-besorolásától. Egy „szürke” (6. cikkelyes) és egy „sötétzöld” (9. cikkelyes) termék közvetítéséért elérhető jutalék mértéke kizárólag a piaci és szakmai alapelveken nyugodhat, így nem alakul ki anyagi érdek a fenntarthatósági szempontok elhallgatására vagy hamis bemutatására (</w:t>
      </w:r>
      <w:r w:rsidRPr="001274AB">
        <w:rPr>
          <w:rFonts w:ascii="Times New Roman" w:hAnsi="Times New Roman" w:cs="Times New Roman"/>
          <w:i/>
          <w:iCs/>
        </w:rPr>
        <w:t>greenwashing</w:t>
      </w:r>
      <w:r w:rsidRPr="001274AB">
        <w:rPr>
          <w:rFonts w:ascii="Times New Roman" w:hAnsi="Times New Roman" w:cs="Times New Roman"/>
        </w:rPr>
        <w:t>).</w:t>
      </w:r>
    </w:p>
    <w:p w:rsidR="00153111" w:rsidRPr="001274AB" w:rsidRDefault="0041202A" w:rsidP="00914B20">
      <w:pPr>
        <w:pStyle w:val="Cmsor1"/>
        <w:rPr>
          <w:rFonts w:ascii="Times New Roman" w:hAnsi="Times New Roman" w:cs="Times New Roman"/>
          <w:sz w:val="32"/>
          <w:szCs w:val="32"/>
        </w:rPr>
      </w:pPr>
      <w:bookmarkStart w:id="15" w:name="_Toc231908640"/>
      <w:r w:rsidRPr="001274AB">
        <w:rPr>
          <w:rFonts w:ascii="Times New Roman" w:hAnsi="Times New Roman" w:cs="Times New Roman"/>
          <w:sz w:val="32"/>
          <w:szCs w:val="32"/>
        </w:rPr>
        <w:t>Szerződéskötés előtti közzétételek – biztosításközvetítőkre vonatkozóan</w:t>
      </w:r>
      <w:bookmarkEnd w:id="15"/>
    </w:p>
    <w:p w:rsidR="0041202A" w:rsidRPr="001274AB" w:rsidRDefault="00751D4C" w:rsidP="0041202A">
      <w:pPr>
        <w:jc w:val="both"/>
        <w:rPr>
          <w:rFonts w:ascii="Times New Roman" w:hAnsi="Times New Roman" w:cs="Times New Roman"/>
        </w:rPr>
      </w:pPr>
      <w:r w:rsidRPr="001274AB">
        <w:rPr>
          <w:rFonts w:ascii="Times New Roman" w:hAnsi="Times New Roman" w:cs="Times New Roman"/>
        </w:rPr>
        <w:t>Az ügyfélközpontúság jegyében minden esetben részletes és körültekintő igényfelmérést végzünk a megfelelő biztosítási termék kiválasztásához</w:t>
      </w:r>
      <w:r w:rsidR="0041202A" w:rsidRPr="001274AB">
        <w:rPr>
          <w:rFonts w:ascii="Times New Roman" w:hAnsi="Times New Roman" w:cs="Times New Roman"/>
        </w:rPr>
        <w:t xml:space="preserve">. </w:t>
      </w:r>
      <w:r w:rsidRPr="001274AB">
        <w:rPr>
          <w:rFonts w:ascii="Times New Roman" w:hAnsi="Times New Roman" w:cs="Times New Roman"/>
        </w:rPr>
        <w:t xml:space="preserve">Jelen esetekben </w:t>
      </w:r>
      <w:r w:rsidR="0041202A" w:rsidRPr="001274AB">
        <w:rPr>
          <w:rFonts w:ascii="Times New Roman" w:hAnsi="Times New Roman" w:cs="Times New Roman"/>
        </w:rPr>
        <w:t xml:space="preserve">az erre vonatkozó eljárási rendet és nyomtatványt </w:t>
      </w:r>
      <w:r w:rsidRPr="001274AB">
        <w:rPr>
          <w:rFonts w:ascii="Times New Roman" w:hAnsi="Times New Roman" w:cs="Times New Roman"/>
        </w:rPr>
        <w:t>vesszük alapul.</w:t>
      </w:r>
      <w:r w:rsidR="0041202A" w:rsidRPr="001274AB">
        <w:rPr>
          <w:rFonts w:ascii="Times New Roman" w:hAnsi="Times New Roman" w:cs="Times New Roman"/>
        </w:rPr>
        <w:t xml:space="preserve"> </w:t>
      </w:r>
    </w:p>
    <w:p w:rsidR="0041202A" w:rsidRPr="001274AB" w:rsidRDefault="0041202A" w:rsidP="0041202A">
      <w:pPr>
        <w:jc w:val="both"/>
        <w:rPr>
          <w:rFonts w:ascii="Times New Roman" w:hAnsi="Times New Roman" w:cs="Times New Roman"/>
        </w:rPr>
      </w:pPr>
    </w:p>
    <w:p w:rsidR="0041202A" w:rsidRPr="001274AB" w:rsidRDefault="0041202A" w:rsidP="0041202A">
      <w:pPr>
        <w:jc w:val="both"/>
        <w:rPr>
          <w:rFonts w:ascii="Times New Roman" w:hAnsi="Times New Roman" w:cs="Times New Roman"/>
        </w:rPr>
      </w:pPr>
      <w:r w:rsidRPr="001274AB">
        <w:rPr>
          <w:rFonts w:ascii="Times New Roman" w:hAnsi="Times New Roman" w:cs="Times New Roman"/>
        </w:rPr>
        <w:t>Kiemelten fontos</w:t>
      </w:r>
      <w:r w:rsidR="00751D4C" w:rsidRPr="001274AB">
        <w:rPr>
          <w:rFonts w:ascii="Times New Roman" w:hAnsi="Times New Roman" w:cs="Times New Roman"/>
        </w:rPr>
        <w:t>nak tartjuk</w:t>
      </w:r>
      <w:r w:rsidRPr="001274AB">
        <w:rPr>
          <w:rFonts w:ascii="Times New Roman" w:hAnsi="Times New Roman" w:cs="Times New Roman"/>
        </w:rPr>
        <w:t xml:space="preserve"> az alapos igényfelmérés megtakarításos / befektetéses biztosítások esetén. </w:t>
      </w:r>
    </w:p>
    <w:p w:rsidR="0041202A" w:rsidRPr="001274AB" w:rsidRDefault="0041202A" w:rsidP="0041202A">
      <w:pPr>
        <w:jc w:val="both"/>
        <w:rPr>
          <w:rFonts w:ascii="Times New Roman" w:hAnsi="Times New Roman" w:cs="Times New Roman"/>
        </w:rPr>
      </w:pPr>
    </w:p>
    <w:p w:rsidR="0041202A" w:rsidRPr="001274AB" w:rsidRDefault="00751D4C" w:rsidP="0041202A">
      <w:pPr>
        <w:jc w:val="both"/>
        <w:rPr>
          <w:rFonts w:ascii="Times New Roman" w:hAnsi="Times New Roman" w:cs="Times New Roman"/>
        </w:rPr>
      </w:pPr>
      <w:r w:rsidRPr="001274AB">
        <w:rPr>
          <w:rFonts w:ascii="Times New Roman" w:hAnsi="Times New Roman" w:cs="Times New Roman"/>
        </w:rPr>
        <w:t>Az ügyfélközpontúság jegyében elengedhetetlen, hogy a termékkel kapcsolatos minden releváns információt átadjunk az ügyfélnek, hogy az informált döntést hozhasson. Az ügyfelek növekvő igénye, hogy pontos és részletes tájékoztatást kapjanak az értékesített termékekről és az értékesítési folyamatról, az elmúlt években jelentősen megnőtt. A növekvő verseny és az ügyfelek fokozódó tudatossága miatt az értékesítőknek (biztosítóknak, biztosításközvetítőknek) egyre nagyobb hangsúlyt kell fektetniük a pontos és átlátható tájékoztatásra. A fenntarthatósági szempontok integrálása az értékesítési és tanácsadási folyamatunkba elengedhetetlennek tartjuk.</w:t>
      </w:r>
      <w:r w:rsidR="00E928B0" w:rsidRPr="001274AB">
        <w:rPr>
          <w:rFonts w:ascii="Times New Roman" w:hAnsi="Times New Roman" w:cs="Times New Roman"/>
        </w:rPr>
        <w:t xml:space="preserve"> A fenntarthatóság integrálása a vállalati működésbe komplex folyamat, amely megköveteli cégünk minden szereplőjének elkötelezettségét. A siker kulcsa a kultúraváltás, a folyamatos tanulás és fejlesztés, valamint az ügyfelekkel való szoros együttműködés. Az értékesítés és a tanácsadás során kiemelt is figyelmet kell fordítani a fenntarthatósági szempontokra. A termékek és szolgáltatások fejlesztésekor alapjában véve a környezetvédelmi és társadalmi hatásokat is figyelembe kell venni. Az ügyfelekkel való kommunikáció során hangsúlyozni kell a fenntarthatósági törekvéseket, és olyan megoldásokat kell ajánlani, amelyek megfelelnek az ügyfelek fenntarthatósági céljainak. A tanácsadás során azonosítani kell a fenntarthatósági kockázatokat és lehetőségeket, és hosszú távú, fenntartható megoldásokat szükséges </w:t>
      </w:r>
      <w:r w:rsidR="00E928B0" w:rsidRPr="001274AB">
        <w:rPr>
          <w:rFonts w:ascii="Times New Roman" w:hAnsi="Times New Roman" w:cs="Times New Roman"/>
        </w:rPr>
        <w:lastRenderedPageBreak/>
        <w:t>kidolgozni. Ezért a</w:t>
      </w:r>
      <w:r w:rsidR="0041202A" w:rsidRPr="001274AB">
        <w:rPr>
          <w:rFonts w:ascii="Times New Roman" w:hAnsi="Times New Roman" w:cs="Times New Roman"/>
        </w:rPr>
        <w:t>z eddigi</w:t>
      </w:r>
      <w:r w:rsidR="00E928B0" w:rsidRPr="001274AB">
        <w:rPr>
          <w:rFonts w:ascii="Times New Roman" w:hAnsi="Times New Roman" w:cs="Times New Roman"/>
        </w:rPr>
        <w:t>ekben a KID</w:t>
      </w:r>
      <w:r w:rsidR="0041202A" w:rsidRPr="001274AB">
        <w:rPr>
          <w:rFonts w:ascii="Times New Roman" w:hAnsi="Times New Roman" w:cs="Times New Roman"/>
        </w:rPr>
        <w:t xml:space="preserve"> mellett kifejezetten erre vonatkozó Ügyfél tájékoztatók, illetve pótlapok kerülnek átadásra az ügyfeleknek</w:t>
      </w:r>
      <w:r w:rsidR="00E928B0" w:rsidRPr="001274AB">
        <w:rPr>
          <w:rFonts w:ascii="Times New Roman" w:hAnsi="Times New Roman" w:cs="Times New Roman"/>
        </w:rPr>
        <w:t>,</w:t>
      </w:r>
    </w:p>
    <w:p w:rsidR="0041202A" w:rsidRPr="001274AB" w:rsidRDefault="0041202A" w:rsidP="0041202A">
      <w:pPr>
        <w:jc w:val="both"/>
        <w:rPr>
          <w:rFonts w:ascii="Times New Roman" w:hAnsi="Times New Roman" w:cs="Times New Roman"/>
        </w:rPr>
      </w:pPr>
      <w:r w:rsidRPr="001274AB">
        <w:rPr>
          <w:rFonts w:ascii="Times New Roman" w:hAnsi="Times New Roman" w:cs="Times New Roman"/>
        </w:rPr>
        <w:t xml:space="preserve">Az eszközalapok </w:t>
      </w:r>
      <w:r w:rsidR="00996284" w:rsidRPr="001274AB">
        <w:rPr>
          <w:rFonts w:ascii="Times New Roman" w:hAnsi="Times New Roman" w:cs="Times New Roman"/>
        </w:rPr>
        <w:t>jellemzőit az</w:t>
      </w:r>
      <w:r w:rsidR="00E928B0" w:rsidRPr="001274AB">
        <w:rPr>
          <w:rFonts w:ascii="Times New Roman" w:hAnsi="Times New Roman" w:cs="Times New Roman"/>
        </w:rPr>
        <w:t xml:space="preserve"> ügyfelek rendelkezésesre bocsátjuk, </w:t>
      </w:r>
      <w:r w:rsidRPr="001274AB">
        <w:rPr>
          <w:rFonts w:ascii="Times New Roman" w:hAnsi="Times New Roman" w:cs="Times New Roman"/>
        </w:rPr>
        <w:t>illetve elérhető</w:t>
      </w:r>
      <w:r w:rsidR="00E928B0" w:rsidRPr="001274AB">
        <w:rPr>
          <w:rFonts w:ascii="Times New Roman" w:hAnsi="Times New Roman" w:cs="Times New Roman"/>
        </w:rPr>
        <w:t>ek</w:t>
      </w:r>
      <w:r w:rsidRPr="001274AB">
        <w:rPr>
          <w:rFonts w:ascii="Times New Roman" w:hAnsi="Times New Roman" w:cs="Times New Roman"/>
        </w:rPr>
        <w:t xml:space="preserve"> az érdeklődők, szerződést kötők számára</w:t>
      </w:r>
      <w:r w:rsidR="00E928B0" w:rsidRPr="001274AB">
        <w:rPr>
          <w:rFonts w:ascii="Times New Roman" w:hAnsi="Times New Roman" w:cs="Times New Roman"/>
        </w:rPr>
        <w:t xml:space="preserve"> irodánkban</w:t>
      </w:r>
      <w:r w:rsidRPr="001274AB">
        <w:rPr>
          <w:rFonts w:ascii="Times New Roman" w:hAnsi="Times New Roman" w:cs="Times New Roman"/>
        </w:rPr>
        <w:t xml:space="preserve">. </w:t>
      </w:r>
      <w:r w:rsidR="00E928B0" w:rsidRPr="001274AB">
        <w:rPr>
          <w:rFonts w:ascii="Times New Roman" w:hAnsi="Times New Roman" w:cs="Times New Roman"/>
        </w:rPr>
        <w:t>Igényfelmérés során i</w:t>
      </w:r>
      <w:r w:rsidRPr="001274AB">
        <w:rPr>
          <w:rFonts w:ascii="Times New Roman" w:hAnsi="Times New Roman" w:cs="Times New Roman"/>
        </w:rPr>
        <w:t>smertetésre került az adott biztosító(k) befektetési politikája.</w:t>
      </w:r>
    </w:p>
    <w:p w:rsidR="0041202A" w:rsidRPr="001274AB" w:rsidRDefault="0041202A" w:rsidP="0041202A">
      <w:pPr>
        <w:jc w:val="both"/>
        <w:rPr>
          <w:rFonts w:ascii="Times New Roman" w:hAnsi="Times New Roman" w:cs="Times New Roman"/>
        </w:rPr>
      </w:pPr>
    </w:p>
    <w:p w:rsidR="0041202A" w:rsidRPr="001274AB" w:rsidRDefault="0041202A" w:rsidP="0041202A">
      <w:pPr>
        <w:jc w:val="both"/>
        <w:rPr>
          <w:rFonts w:ascii="Times New Roman" w:hAnsi="Times New Roman" w:cs="Times New Roman"/>
        </w:rPr>
      </w:pPr>
      <w:r w:rsidRPr="001274AB">
        <w:rPr>
          <w:rFonts w:ascii="Times New Roman" w:hAnsi="Times New Roman" w:cs="Times New Roman"/>
        </w:rPr>
        <w:t>202</w:t>
      </w:r>
      <w:r w:rsidR="00E928B0" w:rsidRPr="001274AB">
        <w:rPr>
          <w:rFonts w:ascii="Times New Roman" w:hAnsi="Times New Roman" w:cs="Times New Roman"/>
        </w:rPr>
        <w:t>1</w:t>
      </w:r>
      <w:r w:rsidRPr="001274AB">
        <w:rPr>
          <w:rFonts w:ascii="Times New Roman" w:hAnsi="Times New Roman" w:cs="Times New Roman"/>
        </w:rPr>
        <w:t xml:space="preserve">. </w:t>
      </w:r>
      <w:r w:rsidR="00E928B0" w:rsidRPr="001274AB">
        <w:rPr>
          <w:rFonts w:ascii="Times New Roman" w:hAnsi="Times New Roman" w:cs="Times New Roman"/>
        </w:rPr>
        <w:t>májusa óta</w:t>
      </w:r>
      <w:r w:rsidRPr="001274AB">
        <w:rPr>
          <w:rFonts w:ascii="Times New Roman" w:hAnsi="Times New Roman" w:cs="Times New Roman"/>
        </w:rPr>
        <w:t xml:space="preserve"> kiemelt </w:t>
      </w:r>
      <w:r w:rsidR="00996284" w:rsidRPr="001274AB">
        <w:rPr>
          <w:rFonts w:ascii="Times New Roman" w:hAnsi="Times New Roman" w:cs="Times New Roman"/>
        </w:rPr>
        <w:t>hangsúlyt kapnak</w:t>
      </w:r>
      <w:r w:rsidR="00F74B02" w:rsidRPr="001274AB">
        <w:rPr>
          <w:rFonts w:ascii="Times New Roman" w:hAnsi="Times New Roman" w:cs="Times New Roman"/>
        </w:rPr>
        <w:t xml:space="preserve"> a színekkel megjelölt befektetési alapok, amik</w:t>
      </w:r>
      <w:r w:rsidR="00996284" w:rsidRPr="001274AB">
        <w:rPr>
          <w:rFonts w:ascii="Times New Roman" w:hAnsi="Times New Roman" w:cs="Times New Roman"/>
        </w:rPr>
        <w:t xml:space="preserve"> fenntarthatósági besorolására utalnak. Ezek a besorolások segítenek az befektetőknek abban, hogy olyan alapokat válasszanak, amelyek megfelelnek a saját fenntarthatósági elveiknek. Összességében elmondható, hogy a fenntarthatósági besorolások célja, hogy átfogó képet nyújtsanak a vállalatok fenntarthatósági teljesítményéről. Az értékelés során figyelembe veszik, hogy a vállalatok milyen mértékben járulnak hozzá a környezet védelméhez, a társadalmi jóléthez és a gazdasági növekedéshez. Ezek színei és jelentései a következők:</w:t>
      </w:r>
    </w:p>
    <w:p w:rsidR="00001B52" w:rsidRPr="001274AB" w:rsidRDefault="00001B52" w:rsidP="0041202A">
      <w:pPr>
        <w:jc w:val="both"/>
        <w:rPr>
          <w:rFonts w:ascii="Times New Roman" w:hAnsi="Times New Roman" w:cs="Times New Roman"/>
        </w:rPr>
      </w:pPr>
    </w:p>
    <w:tbl>
      <w:tblPr>
        <w:tblW w:w="9446" w:type="dxa"/>
        <w:tblCellSpacing w:w="15" w:type="dxa"/>
        <w:tblCellMar>
          <w:top w:w="15" w:type="dxa"/>
          <w:left w:w="15" w:type="dxa"/>
          <w:bottom w:w="15" w:type="dxa"/>
          <w:right w:w="15" w:type="dxa"/>
        </w:tblCellMar>
        <w:tblLook w:val="04A0"/>
      </w:tblPr>
      <w:tblGrid>
        <w:gridCol w:w="1541"/>
        <w:gridCol w:w="2011"/>
        <w:gridCol w:w="5894"/>
      </w:tblGrid>
      <w:tr w:rsidR="00001B52" w:rsidRPr="001274AB" w:rsidTr="00001B52">
        <w:trPr>
          <w:trHeight w:val="418"/>
          <w:tblHeader/>
          <w:tblCellSpacing w:w="15" w:type="dxa"/>
        </w:trPr>
        <w:tc>
          <w:tcPr>
            <w:tcW w:w="0" w:type="auto"/>
            <w:vAlign w:val="center"/>
            <w:hideMark/>
          </w:tcPr>
          <w:p w:rsidR="00001B52" w:rsidRPr="001274AB" w:rsidRDefault="00001B52" w:rsidP="00001B52">
            <w:pPr>
              <w:jc w:val="both"/>
              <w:rPr>
                <w:rFonts w:ascii="Times New Roman" w:hAnsi="Times New Roman" w:cs="Times New Roman"/>
                <w:b/>
                <w:bCs/>
              </w:rPr>
            </w:pPr>
            <w:r w:rsidRPr="001274AB">
              <w:rPr>
                <w:rFonts w:ascii="Times New Roman" w:hAnsi="Times New Roman" w:cs="Times New Roman"/>
                <w:b/>
                <w:bCs/>
              </w:rPr>
              <w:t>Kategória</w:t>
            </w:r>
          </w:p>
        </w:tc>
        <w:tc>
          <w:tcPr>
            <w:tcW w:w="0" w:type="auto"/>
            <w:vAlign w:val="center"/>
            <w:hideMark/>
          </w:tcPr>
          <w:p w:rsidR="00001B52" w:rsidRPr="001274AB" w:rsidRDefault="00001B52" w:rsidP="00001B52">
            <w:pPr>
              <w:jc w:val="both"/>
              <w:rPr>
                <w:rFonts w:ascii="Times New Roman" w:hAnsi="Times New Roman" w:cs="Times New Roman"/>
                <w:b/>
                <w:bCs/>
              </w:rPr>
            </w:pPr>
            <w:r w:rsidRPr="001274AB">
              <w:rPr>
                <w:rFonts w:ascii="Times New Roman" w:hAnsi="Times New Roman" w:cs="Times New Roman"/>
                <w:b/>
                <w:bCs/>
              </w:rPr>
              <w:t>Közkeletű név</w:t>
            </w:r>
          </w:p>
        </w:tc>
        <w:tc>
          <w:tcPr>
            <w:tcW w:w="0" w:type="auto"/>
            <w:vAlign w:val="center"/>
            <w:hideMark/>
          </w:tcPr>
          <w:p w:rsidR="00001B52" w:rsidRPr="001274AB" w:rsidRDefault="00001B52" w:rsidP="00001B52">
            <w:pPr>
              <w:jc w:val="both"/>
              <w:rPr>
                <w:rFonts w:ascii="Times New Roman" w:hAnsi="Times New Roman" w:cs="Times New Roman"/>
                <w:b/>
                <w:bCs/>
              </w:rPr>
            </w:pPr>
            <w:r w:rsidRPr="001274AB">
              <w:rPr>
                <w:rFonts w:ascii="Times New Roman" w:hAnsi="Times New Roman" w:cs="Times New Roman"/>
                <w:b/>
                <w:bCs/>
              </w:rPr>
              <w:t>Mit jelent?</w:t>
            </w:r>
          </w:p>
        </w:tc>
      </w:tr>
      <w:tr w:rsidR="00001B52" w:rsidRPr="001274AB" w:rsidTr="00001B52">
        <w:trPr>
          <w:trHeight w:val="855"/>
          <w:tblCellSpacing w:w="15" w:type="dxa"/>
        </w:trPr>
        <w:tc>
          <w:tcPr>
            <w:tcW w:w="0" w:type="auto"/>
            <w:shd w:val="clear" w:color="auto" w:fill="D1D1D1" w:themeFill="background2" w:themeFillShade="E6"/>
            <w:vAlign w:val="center"/>
            <w:hideMark/>
          </w:tcPr>
          <w:p w:rsidR="00001B52" w:rsidRPr="001274AB" w:rsidRDefault="00001B52" w:rsidP="00001B52">
            <w:pPr>
              <w:jc w:val="both"/>
              <w:rPr>
                <w:rFonts w:ascii="Times New Roman" w:hAnsi="Times New Roman" w:cs="Times New Roman"/>
              </w:rPr>
            </w:pPr>
            <w:r w:rsidRPr="001274AB">
              <w:rPr>
                <w:rFonts w:ascii="Times New Roman" w:hAnsi="Times New Roman" w:cs="Times New Roman"/>
                <w:b/>
                <w:bCs/>
              </w:rPr>
              <w:t>6.cikkely szerinti</w:t>
            </w:r>
          </w:p>
        </w:tc>
        <w:tc>
          <w:tcPr>
            <w:tcW w:w="0" w:type="auto"/>
            <w:shd w:val="clear" w:color="auto" w:fill="D1D1D1" w:themeFill="background2" w:themeFillShade="E6"/>
            <w:vAlign w:val="center"/>
            <w:hideMark/>
          </w:tcPr>
          <w:p w:rsidR="00001B52" w:rsidRPr="001274AB" w:rsidRDefault="00001B52" w:rsidP="00001B52">
            <w:pPr>
              <w:jc w:val="both"/>
              <w:rPr>
                <w:rFonts w:ascii="Times New Roman" w:hAnsi="Times New Roman" w:cs="Times New Roman"/>
              </w:rPr>
            </w:pPr>
            <w:r w:rsidRPr="001274AB">
              <w:rPr>
                <w:rFonts w:ascii="Times New Roman" w:hAnsi="Times New Roman" w:cs="Times New Roman"/>
              </w:rPr>
              <w:t>„Szürke” termékek</w:t>
            </w:r>
          </w:p>
        </w:tc>
        <w:tc>
          <w:tcPr>
            <w:tcW w:w="0" w:type="auto"/>
            <w:shd w:val="clear" w:color="auto" w:fill="D1D1D1" w:themeFill="background2" w:themeFillShade="E6"/>
            <w:vAlign w:val="center"/>
            <w:hideMark/>
          </w:tcPr>
          <w:p w:rsidR="00001B52" w:rsidRPr="001274AB" w:rsidRDefault="00001B52" w:rsidP="00001B52">
            <w:pPr>
              <w:jc w:val="both"/>
              <w:rPr>
                <w:rFonts w:ascii="Times New Roman" w:hAnsi="Times New Roman" w:cs="Times New Roman"/>
              </w:rPr>
            </w:pPr>
            <w:r w:rsidRPr="001274AB">
              <w:rPr>
                <w:rFonts w:ascii="Times New Roman" w:hAnsi="Times New Roman" w:cs="Times New Roman"/>
              </w:rPr>
              <w:t>Nem követnek kifejezett fenntarthatósági célt (hagyományos alapok).</w:t>
            </w:r>
          </w:p>
        </w:tc>
      </w:tr>
      <w:tr w:rsidR="00001B52" w:rsidRPr="001274AB" w:rsidTr="00001B52">
        <w:trPr>
          <w:trHeight w:val="855"/>
          <w:tblCellSpacing w:w="15" w:type="dxa"/>
        </w:trPr>
        <w:tc>
          <w:tcPr>
            <w:tcW w:w="0" w:type="auto"/>
            <w:shd w:val="clear" w:color="auto" w:fill="D9F2D0" w:themeFill="accent6" w:themeFillTint="33"/>
            <w:vAlign w:val="center"/>
            <w:hideMark/>
          </w:tcPr>
          <w:p w:rsidR="00001B52" w:rsidRPr="001274AB" w:rsidRDefault="00001B52" w:rsidP="00001B52">
            <w:pPr>
              <w:jc w:val="both"/>
              <w:rPr>
                <w:rFonts w:ascii="Times New Roman" w:hAnsi="Times New Roman" w:cs="Times New Roman"/>
              </w:rPr>
            </w:pPr>
            <w:r w:rsidRPr="001274AB">
              <w:rPr>
                <w:rFonts w:ascii="Times New Roman" w:hAnsi="Times New Roman" w:cs="Times New Roman"/>
                <w:b/>
                <w:bCs/>
              </w:rPr>
              <w:t>8.cikkely szerinti</w:t>
            </w:r>
          </w:p>
        </w:tc>
        <w:tc>
          <w:tcPr>
            <w:tcW w:w="0" w:type="auto"/>
            <w:shd w:val="clear" w:color="auto" w:fill="D9F2D0" w:themeFill="accent6" w:themeFillTint="33"/>
            <w:vAlign w:val="center"/>
            <w:hideMark/>
          </w:tcPr>
          <w:p w:rsidR="00001B52" w:rsidRPr="001274AB" w:rsidRDefault="00001B52" w:rsidP="00001B52">
            <w:pPr>
              <w:jc w:val="both"/>
              <w:rPr>
                <w:rFonts w:ascii="Times New Roman" w:hAnsi="Times New Roman" w:cs="Times New Roman"/>
              </w:rPr>
            </w:pPr>
            <w:r w:rsidRPr="001274AB">
              <w:rPr>
                <w:rFonts w:ascii="Times New Roman" w:hAnsi="Times New Roman" w:cs="Times New Roman"/>
              </w:rPr>
              <w:t>„Világoszöld” termékek</w:t>
            </w:r>
          </w:p>
        </w:tc>
        <w:tc>
          <w:tcPr>
            <w:tcW w:w="0" w:type="auto"/>
            <w:shd w:val="clear" w:color="auto" w:fill="D9F2D0" w:themeFill="accent6" w:themeFillTint="33"/>
            <w:vAlign w:val="center"/>
            <w:hideMark/>
          </w:tcPr>
          <w:p w:rsidR="00001B52" w:rsidRPr="001274AB" w:rsidRDefault="00001B52" w:rsidP="00001B52">
            <w:pPr>
              <w:jc w:val="both"/>
              <w:rPr>
                <w:rFonts w:ascii="Times New Roman" w:hAnsi="Times New Roman" w:cs="Times New Roman"/>
              </w:rPr>
            </w:pPr>
            <w:r w:rsidRPr="001274AB">
              <w:rPr>
                <w:rFonts w:ascii="Times New Roman" w:hAnsi="Times New Roman" w:cs="Times New Roman"/>
              </w:rPr>
              <w:t>Előmozdítanak környezeti vagy társadalmi jellemzőket, de nem ez az elsődleges céljuk.</w:t>
            </w:r>
          </w:p>
        </w:tc>
      </w:tr>
      <w:tr w:rsidR="00001B52" w:rsidRPr="001274AB" w:rsidTr="00001B52">
        <w:trPr>
          <w:trHeight w:val="837"/>
          <w:tblCellSpacing w:w="15" w:type="dxa"/>
        </w:trPr>
        <w:tc>
          <w:tcPr>
            <w:tcW w:w="0" w:type="auto"/>
            <w:shd w:val="clear" w:color="auto" w:fill="0C3512" w:themeFill="accent3" w:themeFillShade="80"/>
            <w:vAlign w:val="center"/>
            <w:hideMark/>
          </w:tcPr>
          <w:p w:rsidR="00001B52" w:rsidRPr="001274AB" w:rsidRDefault="00001B52" w:rsidP="00001B52">
            <w:pPr>
              <w:jc w:val="both"/>
              <w:rPr>
                <w:rFonts w:ascii="Times New Roman" w:hAnsi="Times New Roman" w:cs="Times New Roman"/>
              </w:rPr>
            </w:pPr>
            <w:r w:rsidRPr="001274AB">
              <w:rPr>
                <w:rFonts w:ascii="Times New Roman" w:hAnsi="Times New Roman" w:cs="Times New Roman"/>
                <w:b/>
                <w:bCs/>
              </w:rPr>
              <w:t>9.cikkely szerinti</w:t>
            </w:r>
          </w:p>
        </w:tc>
        <w:tc>
          <w:tcPr>
            <w:tcW w:w="0" w:type="auto"/>
            <w:shd w:val="clear" w:color="auto" w:fill="0C3512" w:themeFill="accent3" w:themeFillShade="80"/>
            <w:vAlign w:val="center"/>
            <w:hideMark/>
          </w:tcPr>
          <w:p w:rsidR="00001B52" w:rsidRPr="001274AB" w:rsidRDefault="00001B52" w:rsidP="00001B52">
            <w:pPr>
              <w:jc w:val="both"/>
              <w:rPr>
                <w:rFonts w:ascii="Times New Roman" w:hAnsi="Times New Roman" w:cs="Times New Roman"/>
              </w:rPr>
            </w:pPr>
            <w:r w:rsidRPr="001274AB">
              <w:rPr>
                <w:rFonts w:ascii="Times New Roman" w:hAnsi="Times New Roman" w:cs="Times New Roman"/>
              </w:rPr>
              <w:t>„Sötétzöld” termékek</w:t>
            </w:r>
          </w:p>
        </w:tc>
        <w:tc>
          <w:tcPr>
            <w:tcW w:w="0" w:type="auto"/>
            <w:shd w:val="clear" w:color="auto" w:fill="0C3512" w:themeFill="accent3" w:themeFillShade="80"/>
            <w:vAlign w:val="center"/>
            <w:hideMark/>
          </w:tcPr>
          <w:p w:rsidR="00001B52" w:rsidRPr="001274AB" w:rsidRDefault="00001B52" w:rsidP="00001B52">
            <w:pPr>
              <w:jc w:val="both"/>
              <w:rPr>
                <w:rFonts w:ascii="Times New Roman" w:hAnsi="Times New Roman" w:cs="Times New Roman"/>
              </w:rPr>
            </w:pPr>
            <w:r w:rsidRPr="001274AB">
              <w:rPr>
                <w:rFonts w:ascii="Times New Roman" w:hAnsi="Times New Roman" w:cs="Times New Roman"/>
              </w:rPr>
              <w:t>Kifejezetten fenntartható befektetéseket céloznak meg (pl. megújuló energia alapok).</w:t>
            </w:r>
          </w:p>
        </w:tc>
      </w:tr>
    </w:tbl>
    <w:p w:rsidR="00001B52" w:rsidRPr="001274AB" w:rsidRDefault="00001B52" w:rsidP="0041202A">
      <w:pPr>
        <w:jc w:val="both"/>
        <w:rPr>
          <w:rFonts w:ascii="Times New Roman" w:hAnsi="Times New Roman" w:cs="Times New Roman"/>
        </w:rPr>
      </w:pPr>
    </w:p>
    <w:p w:rsidR="00996284" w:rsidRPr="001274AB" w:rsidRDefault="00996284" w:rsidP="0041202A">
      <w:pPr>
        <w:jc w:val="both"/>
        <w:rPr>
          <w:rFonts w:ascii="Times New Roman" w:hAnsi="Times New Roman" w:cs="Times New Roman"/>
        </w:rPr>
      </w:pPr>
      <w:r w:rsidRPr="001274AB">
        <w:rPr>
          <w:rFonts w:ascii="Times New Roman" w:hAnsi="Times New Roman" w:cs="Times New Roman"/>
        </w:rPr>
        <w:t>A besorolások szolgáltatótól függően eltérőek lehetnek, így jelentésük is változhat.</w:t>
      </w:r>
    </w:p>
    <w:p w:rsidR="0041202A" w:rsidRPr="001274AB" w:rsidRDefault="0041202A" w:rsidP="0041202A">
      <w:pPr>
        <w:jc w:val="both"/>
        <w:rPr>
          <w:rFonts w:ascii="Times New Roman" w:hAnsi="Times New Roman" w:cs="Times New Roman"/>
        </w:rPr>
      </w:pPr>
    </w:p>
    <w:p w:rsidR="0041202A" w:rsidRPr="001274AB" w:rsidRDefault="0041202A" w:rsidP="0041202A">
      <w:pPr>
        <w:jc w:val="both"/>
        <w:rPr>
          <w:rFonts w:ascii="Times New Roman" w:hAnsi="Times New Roman" w:cs="Times New Roman"/>
        </w:rPr>
      </w:pPr>
      <w:r w:rsidRPr="001274AB">
        <w:rPr>
          <w:rFonts w:ascii="Times New Roman" w:hAnsi="Times New Roman" w:cs="Times New Roman"/>
        </w:rPr>
        <w:t>A biztosító, - mint pénzügyi piaci szereplők egyike - a szerződéskötés előtti közzétételekben kötelesek feltüntetni a következők leírását:</w:t>
      </w:r>
    </w:p>
    <w:p w:rsidR="0041202A" w:rsidRPr="001274AB" w:rsidRDefault="0041202A" w:rsidP="00083000">
      <w:pPr>
        <w:pStyle w:val="Listaszerbekezds"/>
        <w:numPr>
          <w:ilvl w:val="0"/>
          <w:numId w:val="36"/>
        </w:numPr>
        <w:jc w:val="both"/>
        <w:rPr>
          <w:rFonts w:ascii="Times New Roman" w:hAnsi="Times New Roman" w:cs="Times New Roman"/>
        </w:rPr>
      </w:pPr>
      <w:r w:rsidRPr="001274AB">
        <w:rPr>
          <w:rFonts w:ascii="Times New Roman" w:hAnsi="Times New Roman" w:cs="Times New Roman"/>
        </w:rPr>
        <w:t xml:space="preserve">a fenntarthatósági kockázatok befektetési döntéseikbe való integrálásának módját; </w:t>
      </w:r>
    </w:p>
    <w:p w:rsidR="0041202A" w:rsidRPr="001274AB" w:rsidRDefault="0041202A" w:rsidP="00083000">
      <w:pPr>
        <w:pStyle w:val="Listaszerbekezds"/>
        <w:numPr>
          <w:ilvl w:val="0"/>
          <w:numId w:val="36"/>
        </w:numPr>
        <w:jc w:val="both"/>
        <w:rPr>
          <w:rFonts w:ascii="Times New Roman" w:hAnsi="Times New Roman" w:cs="Times New Roman"/>
        </w:rPr>
      </w:pPr>
      <w:r w:rsidRPr="001274AB">
        <w:rPr>
          <w:rFonts w:ascii="Times New Roman" w:hAnsi="Times New Roman" w:cs="Times New Roman"/>
        </w:rPr>
        <w:t>a fenntarthatósági kockázatok által az általuk kínált pénzügyi termékek hozamára gyakorolt valószínű hatások értékelésének eredményeit.</w:t>
      </w:r>
    </w:p>
    <w:p w:rsidR="0041202A" w:rsidRPr="001274AB" w:rsidRDefault="0041202A" w:rsidP="0041202A">
      <w:pPr>
        <w:jc w:val="both"/>
        <w:rPr>
          <w:rFonts w:ascii="Times New Roman" w:hAnsi="Times New Roman" w:cs="Times New Roman"/>
        </w:rPr>
      </w:pPr>
    </w:p>
    <w:p w:rsidR="0041202A" w:rsidRPr="001274AB" w:rsidRDefault="0041202A" w:rsidP="0041202A">
      <w:pPr>
        <w:jc w:val="both"/>
        <w:rPr>
          <w:rFonts w:ascii="Times New Roman" w:hAnsi="Times New Roman" w:cs="Times New Roman"/>
        </w:rPr>
      </w:pPr>
      <w:r w:rsidRPr="001274AB">
        <w:rPr>
          <w:rFonts w:ascii="Times New Roman" w:hAnsi="Times New Roman" w:cs="Times New Roman"/>
        </w:rPr>
        <w:t xml:space="preserve">A GranBróker Kft, mint a pénzügyi tanácsadó tanácsadás / értékesítés során </w:t>
      </w:r>
      <w:r w:rsidR="006C2E61" w:rsidRPr="001274AB">
        <w:rPr>
          <w:rFonts w:ascii="Times New Roman" w:hAnsi="Times New Roman" w:cs="Times New Roman"/>
        </w:rPr>
        <w:t>–</w:t>
      </w:r>
      <w:r w:rsidRPr="001274AB">
        <w:rPr>
          <w:rFonts w:ascii="Times New Roman" w:hAnsi="Times New Roman" w:cs="Times New Roman"/>
        </w:rPr>
        <w:t xml:space="preserve"> a</w:t>
      </w:r>
      <w:r w:rsidR="006C2E61" w:rsidRPr="001274AB">
        <w:rPr>
          <w:rFonts w:ascii="Times New Roman" w:hAnsi="Times New Roman" w:cs="Times New Roman"/>
        </w:rPr>
        <w:t>z SFDR rendelet</w:t>
      </w:r>
      <w:r w:rsidRPr="001274AB">
        <w:rPr>
          <w:rFonts w:ascii="Times New Roman" w:hAnsi="Times New Roman" w:cs="Times New Roman"/>
        </w:rPr>
        <w:t xml:space="preserve"> 6. cikk</w:t>
      </w:r>
      <w:r w:rsidR="006C2E61" w:rsidRPr="001274AB">
        <w:rPr>
          <w:rFonts w:ascii="Times New Roman" w:hAnsi="Times New Roman" w:cs="Times New Roman"/>
        </w:rPr>
        <w:t>ének</w:t>
      </w:r>
      <w:r w:rsidRPr="001274AB">
        <w:rPr>
          <w:rFonts w:ascii="Times New Roman" w:hAnsi="Times New Roman" w:cs="Times New Roman"/>
        </w:rPr>
        <w:t xml:space="preserve"> 2 bekezdését </w:t>
      </w:r>
      <w:r w:rsidR="00083000" w:rsidRPr="001274AB">
        <w:rPr>
          <w:rFonts w:ascii="Times New Roman" w:hAnsi="Times New Roman" w:cs="Times New Roman"/>
        </w:rPr>
        <w:t>szem előtt tartva eljárva</w:t>
      </w:r>
    </w:p>
    <w:p w:rsidR="006C2E61" w:rsidRPr="001274AB" w:rsidRDefault="0041202A" w:rsidP="0041202A">
      <w:pPr>
        <w:pStyle w:val="Listaszerbekezds"/>
        <w:numPr>
          <w:ilvl w:val="0"/>
          <w:numId w:val="39"/>
        </w:numPr>
        <w:jc w:val="both"/>
        <w:rPr>
          <w:rFonts w:ascii="Times New Roman" w:hAnsi="Times New Roman" w:cs="Times New Roman"/>
        </w:rPr>
      </w:pPr>
      <w:r w:rsidRPr="001274AB">
        <w:rPr>
          <w:rFonts w:ascii="Times New Roman" w:hAnsi="Times New Roman" w:cs="Times New Roman"/>
        </w:rPr>
        <w:t xml:space="preserve">az egyes biztosítók honlapján, illetve elektronikusan elérhető befektetési politika </w:t>
      </w:r>
      <w:r w:rsidR="006C2E61" w:rsidRPr="001274AB">
        <w:rPr>
          <w:rFonts w:ascii="Times New Roman" w:hAnsi="Times New Roman" w:cs="Times New Roman"/>
        </w:rPr>
        <w:t>ismerteti, melyek</w:t>
      </w:r>
      <w:r w:rsidRPr="001274AB">
        <w:rPr>
          <w:rFonts w:ascii="Times New Roman" w:hAnsi="Times New Roman" w:cs="Times New Roman"/>
        </w:rPr>
        <w:t xml:space="preserve"> elérhető</w:t>
      </w:r>
      <w:r w:rsidR="006C2E61" w:rsidRPr="001274AB">
        <w:rPr>
          <w:rFonts w:ascii="Times New Roman" w:hAnsi="Times New Roman" w:cs="Times New Roman"/>
        </w:rPr>
        <w:t>ek</w:t>
      </w:r>
      <w:r w:rsidRPr="001274AB">
        <w:rPr>
          <w:rFonts w:ascii="Times New Roman" w:hAnsi="Times New Roman" w:cs="Times New Roman"/>
        </w:rPr>
        <w:t xml:space="preserve"> az ügyfél által,</w:t>
      </w:r>
    </w:p>
    <w:p w:rsidR="006C2E61" w:rsidRPr="001274AB" w:rsidRDefault="0041202A" w:rsidP="0041202A">
      <w:pPr>
        <w:pStyle w:val="Listaszerbekezds"/>
        <w:numPr>
          <w:ilvl w:val="0"/>
          <w:numId w:val="39"/>
        </w:numPr>
        <w:jc w:val="both"/>
        <w:rPr>
          <w:rFonts w:ascii="Times New Roman" w:hAnsi="Times New Roman" w:cs="Times New Roman"/>
        </w:rPr>
      </w:pPr>
      <w:r w:rsidRPr="001274AB">
        <w:rPr>
          <w:rFonts w:ascii="Times New Roman" w:hAnsi="Times New Roman" w:cs="Times New Roman"/>
        </w:rPr>
        <w:t>egyes eszközalapok ismertetése</w:t>
      </w:r>
      <w:r w:rsidR="006C2E61" w:rsidRPr="001274AB">
        <w:rPr>
          <w:rFonts w:ascii="Times New Roman" w:hAnsi="Times New Roman" w:cs="Times New Roman"/>
        </w:rPr>
        <w:t xml:space="preserve"> során</w:t>
      </w:r>
      <w:r w:rsidRPr="001274AB">
        <w:rPr>
          <w:rFonts w:ascii="Times New Roman" w:hAnsi="Times New Roman" w:cs="Times New Roman"/>
        </w:rPr>
        <w:t xml:space="preserve"> a fenntarthatóság kockázata </w:t>
      </w:r>
      <w:r w:rsidR="006C2E61" w:rsidRPr="001274AB">
        <w:rPr>
          <w:rFonts w:ascii="Times New Roman" w:hAnsi="Times New Roman" w:cs="Times New Roman"/>
        </w:rPr>
        <w:t xml:space="preserve">szempontjából, rámutat arra, hogy </w:t>
      </w:r>
      <w:r w:rsidRPr="001274AB">
        <w:rPr>
          <w:rFonts w:ascii="Times New Roman" w:hAnsi="Times New Roman" w:cs="Times New Roman"/>
        </w:rPr>
        <w:t>melyek a „világos zöld” termékek által előmozdított környezeti / társadalmi jellemzők, ill. melyek a „sötét zöld” termékek fenntartható befektetési célkitűzései,</w:t>
      </w:r>
      <w:r w:rsidR="006C2E61" w:rsidRPr="001274AB">
        <w:rPr>
          <w:rFonts w:ascii="Times New Roman" w:hAnsi="Times New Roman" w:cs="Times New Roman"/>
        </w:rPr>
        <w:t xml:space="preserve"> illetve </w:t>
      </w:r>
      <w:r w:rsidRPr="001274AB">
        <w:rPr>
          <w:rFonts w:ascii="Times New Roman" w:hAnsi="Times New Roman" w:cs="Times New Roman"/>
        </w:rPr>
        <w:t>melyek a „világos zöld” és a „sötét zöld” termékek esetében a mérésre használt módszerek, adatok, mutatók stb</w:t>
      </w:r>
    </w:p>
    <w:p w:rsidR="006C2E61" w:rsidRPr="001274AB" w:rsidRDefault="0041202A" w:rsidP="0041202A">
      <w:pPr>
        <w:pStyle w:val="Listaszerbekezds"/>
        <w:numPr>
          <w:ilvl w:val="0"/>
          <w:numId w:val="39"/>
        </w:numPr>
        <w:jc w:val="both"/>
        <w:rPr>
          <w:rFonts w:ascii="Times New Roman" w:hAnsi="Times New Roman" w:cs="Times New Roman"/>
        </w:rPr>
      </w:pPr>
      <w:r w:rsidRPr="001274AB">
        <w:rPr>
          <w:rFonts w:ascii="Times New Roman" w:hAnsi="Times New Roman" w:cs="Times New Roman"/>
        </w:rPr>
        <w:t>egyes eszközalapok hozamai, időszakok, kapcsolatok a fenntarthatóság kockázatával</w:t>
      </w:r>
      <w:r w:rsidR="006C2E61" w:rsidRPr="001274AB">
        <w:rPr>
          <w:rFonts w:ascii="Times New Roman" w:hAnsi="Times New Roman" w:cs="Times New Roman"/>
        </w:rPr>
        <w:t xml:space="preserve"> </w:t>
      </w:r>
      <w:r w:rsidR="00001B52" w:rsidRPr="001274AB">
        <w:rPr>
          <w:rFonts w:ascii="Times New Roman" w:hAnsi="Times New Roman" w:cs="Times New Roman"/>
        </w:rPr>
        <w:t>számontartja</w:t>
      </w:r>
    </w:p>
    <w:p w:rsidR="0041202A" w:rsidRPr="001274AB" w:rsidRDefault="0041202A" w:rsidP="0041202A">
      <w:pPr>
        <w:pStyle w:val="Listaszerbekezds"/>
        <w:numPr>
          <w:ilvl w:val="0"/>
          <w:numId w:val="39"/>
        </w:numPr>
        <w:jc w:val="both"/>
        <w:rPr>
          <w:rFonts w:ascii="Times New Roman" w:hAnsi="Times New Roman" w:cs="Times New Roman"/>
        </w:rPr>
      </w:pPr>
      <w:r w:rsidRPr="001274AB">
        <w:rPr>
          <w:rFonts w:ascii="Times New Roman" w:hAnsi="Times New Roman" w:cs="Times New Roman"/>
        </w:rPr>
        <w:t>egyes biztosítók „Hírlevelei” elérhetőség</w:t>
      </w:r>
      <w:r w:rsidR="006C2E61" w:rsidRPr="001274AB">
        <w:rPr>
          <w:rFonts w:ascii="Times New Roman" w:hAnsi="Times New Roman" w:cs="Times New Roman"/>
        </w:rPr>
        <w:t>ét megőrzi,</w:t>
      </w:r>
      <w:r w:rsidRPr="001274AB">
        <w:rPr>
          <w:rFonts w:ascii="Times New Roman" w:hAnsi="Times New Roman" w:cs="Times New Roman"/>
        </w:rPr>
        <w:t xml:space="preserve"> szerződéskötés után az ügyfelek tájékoztatásának lehetőség</w:t>
      </w:r>
      <w:r w:rsidR="006C2E61" w:rsidRPr="001274AB">
        <w:rPr>
          <w:rFonts w:ascii="Times New Roman" w:hAnsi="Times New Roman" w:cs="Times New Roman"/>
        </w:rPr>
        <w:t>ét</w:t>
      </w:r>
    </w:p>
    <w:p w:rsidR="0000369E" w:rsidRPr="001274AB" w:rsidRDefault="0000369E" w:rsidP="0000369E">
      <w:pPr>
        <w:pStyle w:val="Listaszerbekezds"/>
        <w:jc w:val="both"/>
        <w:rPr>
          <w:rFonts w:ascii="Times New Roman" w:hAnsi="Times New Roman" w:cs="Times New Roman"/>
        </w:rPr>
      </w:pPr>
    </w:p>
    <w:p w:rsidR="0000369E" w:rsidRPr="001274AB" w:rsidRDefault="0000369E" w:rsidP="0000369E">
      <w:pPr>
        <w:pStyle w:val="Listaszerbekezds"/>
        <w:ind w:left="0"/>
        <w:jc w:val="both"/>
        <w:rPr>
          <w:rFonts w:ascii="Times New Roman" w:hAnsi="Times New Roman" w:cs="Times New Roman"/>
        </w:rPr>
      </w:pPr>
      <w:r w:rsidRPr="001274AB">
        <w:rPr>
          <w:rFonts w:ascii="Times New Roman" w:hAnsi="Times New Roman" w:cs="Times New Roman"/>
        </w:rPr>
        <w:lastRenderedPageBreak/>
        <w:t>Az ügyfél számára történő információátadás és annak dokumentálása az értékesítési folyamat szerves része.</w:t>
      </w:r>
    </w:p>
    <w:p w:rsidR="00032659" w:rsidRPr="001274AB" w:rsidRDefault="0041202A" w:rsidP="00914B20">
      <w:pPr>
        <w:pStyle w:val="Cmsor1"/>
        <w:rPr>
          <w:rFonts w:ascii="Times New Roman" w:hAnsi="Times New Roman" w:cs="Times New Roman"/>
          <w:sz w:val="32"/>
          <w:szCs w:val="32"/>
        </w:rPr>
      </w:pPr>
      <w:bookmarkStart w:id="16" w:name="_Toc231908641"/>
      <w:r w:rsidRPr="001274AB">
        <w:rPr>
          <w:rFonts w:ascii="Times New Roman" w:hAnsi="Times New Roman" w:cs="Times New Roman"/>
          <w:sz w:val="32"/>
          <w:szCs w:val="32"/>
        </w:rPr>
        <w:t>Szerződéskötés előtti közzétételek – biztosítási termék eszközlapjaira vonatkozóan</w:t>
      </w:r>
      <w:bookmarkEnd w:id="16"/>
    </w:p>
    <w:p w:rsidR="00673CD0" w:rsidRPr="001274AB" w:rsidRDefault="00673CD0" w:rsidP="00673CD0">
      <w:pPr>
        <w:rPr>
          <w:rFonts w:ascii="Times New Roman" w:hAnsi="Times New Roman" w:cs="Times New Roman"/>
        </w:rPr>
      </w:pPr>
    </w:p>
    <w:p w:rsidR="00673CD0" w:rsidRPr="001274AB" w:rsidRDefault="00673CD0" w:rsidP="00001B52">
      <w:pPr>
        <w:jc w:val="both"/>
        <w:rPr>
          <w:rFonts w:ascii="Times New Roman" w:hAnsi="Times New Roman" w:cs="Times New Roman"/>
        </w:rPr>
      </w:pPr>
      <w:r w:rsidRPr="001274AB">
        <w:rPr>
          <w:rFonts w:ascii="Times New Roman" w:hAnsi="Times New Roman" w:cs="Times New Roman"/>
        </w:rPr>
        <w:t xml:space="preserve">AZ EURÓPAI PARLAMENT ÉS A TANÁCS (EU) 2019/2088 </w:t>
      </w:r>
      <w:r w:rsidR="00001B52" w:rsidRPr="001274AB">
        <w:rPr>
          <w:rFonts w:ascii="Times New Roman" w:hAnsi="Times New Roman" w:cs="Times New Roman"/>
        </w:rPr>
        <w:t>RENDELETE (</w:t>
      </w:r>
      <w:r w:rsidRPr="001274AB">
        <w:rPr>
          <w:rFonts w:ascii="Times New Roman" w:hAnsi="Times New Roman" w:cs="Times New Roman"/>
        </w:rPr>
        <w:t xml:space="preserve">2019. november 27.) a pénzügyi szolgáltatási ágazatban a fenntarthatósággal kapcsolatos közzétételekről szóló rendelet </w:t>
      </w:r>
      <w:r w:rsidR="00A67B99" w:rsidRPr="001274AB">
        <w:rPr>
          <w:rFonts w:ascii="Times New Roman" w:hAnsi="Times New Roman" w:cs="Times New Roman"/>
        </w:rPr>
        <w:t xml:space="preserve">6.cikk (2) bekezdés </w:t>
      </w:r>
      <w:r w:rsidR="00001B52" w:rsidRPr="001274AB">
        <w:rPr>
          <w:rFonts w:ascii="Times New Roman" w:hAnsi="Times New Roman" w:cs="Times New Roman"/>
        </w:rPr>
        <w:t>alapján a</w:t>
      </w:r>
      <w:r w:rsidR="00A67B99" w:rsidRPr="001274AB">
        <w:rPr>
          <w:rFonts w:ascii="Times New Roman" w:hAnsi="Times New Roman" w:cs="Times New Roman"/>
        </w:rPr>
        <w:t xml:space="preserve"> pénzügyi tanácsadók a szerződéskötés előtti közzétételekben kötelesek feltüntetni a következők leírását:</w:t>
      </w:r>
    </w:p>
    <w:p w:rsidR="00A67B99" w:rsidRPr="001274AB" w:rsidRDefault="00A67B99" w:rsidP="00001B52">
      <w:pPr>
        <w:pStyle w:val="Listaszerbekezds"/>
        <w:numPr>
          <w:ilvl w:val="0"/>
          <w:numId w:val="40"/>
        </w:numPr>
        <w:jc w:val="both"/>
        <w:rPr>
          <w:rFonts w:ascii="Times New Roman" w:hAnsi="Times New Roman" w:cs="Times New Roman"/>
        </w:rPr>
      </w:pPr>
      <w:r w:rsidRPr="001274AB">
        <w:rPr>
          <w:rFonts w:ascii="Times New Roman" w:hAnsi="Times New Roman" w:cs="Times New Roman"/>
        </w:rPr>
        <w:t>a fenntarthatósági kockázatok befektetési vagy biztosítási tanácsaikba való integrálásának módja;</w:t>
      </w:r>
    </w:p>
    <w:p w:rsidR="00A67B99" w:rsidRPr="001274AB" w:rsidRDefault="00A67B99" w:rsidP="00001B52">
      <w:pPr>
        <w:pStyle w:val="Listaszerbekezds"/>
        <w:numPr>
          <w:ilvl w:val="0"/>
          <w:numId w:val="40"/>
        </w:numPr>
        <w:jc w:val="both"/>
        <w:rPr>
          <w:rFonts w:ascii="Times New Roman" w:hAnsi="Times New Roman" w:cs="Times New Roman"/>
        </w:rPr>
      </w:pPr>
      <w:r w:rsidRPr="001274AB">
        <w:rPr>
          <w:rFonts w:ascii="Times New Roman" w:hAnsi="Times New Roman" w:cs="Times New Roman"/>
        </w:rPr>
        <w:t>a fenntarthatósági kockázatok által az azon pénzügyi termékek hozamára gyakorolt valószínű hatások értékelésének eredménye, amelyekkel kapcsolatban tanácsadást nyújtanak</w:t>
      </w:r>
    </w:p>
    <w:p w:rsidR="00673CD0" w:rsidRPr="001274AB" w:rsidRDefault="00673CD0" w:rsidP="00001B52">
      <w:pPr>
        <w:jc w:val="both"/>
        <w:rPr>
          <w:rFonts w:ascii="Times New Roman" w:hAnsi="Times New Roman" w:cs="Times New Roman"/>
        </w:rPr>
      </w:pPr>
    </w:p>
    <w:p w:rsidR="0041202A" w:rsidRPr="001274AB" w:rsidRDefault="00A67B99" w:rsidP="0041202A">
      <w:pPr>
        <w:jc w:val="both"/>
        <w:rPr>
          <w:rFonts w:ascii="Times New Roman" w:hAnsi="Times New Roman" w:cs="Times New Roman"/>
        </w:rPr>
      </w:pPr>
      <w:r w:rsidRPr="001274AB">
        <w:rPr>
          <w:rFonts w:ascii="Times New Roman" w:hAnsi="Times New Roman" w:cs="Times New Roman"/>
        </w:rPr>
        <w:t>A GranBróker Kft. elsődleges célja, hogy ügyfelei számára átfogó és pontos tájékoztatást nyújtson a biztosítási alapú megtakarítási termékekről, valamint személyre szabott tanácsadással segítse őket a legjobb döntés meghozatalában.</w:t>
      </w:r>
    </w:p>
    <w:p w:rsidR="00A67B99" w:rsidRPr="001274AB" w:rsidRDefault="00A67B99" w:rsidP="0041202A">
      <w:pPr>
        <w:jc w:val="both"/>
        <w:rPr>
          <w:rFonts w:ascii="Times New Roman" w:hAnsi="Times New Roman" w:cs="Times New Roman"/>
        </w:rPr>
      </w:pPr>
    </w:p>
    <w:p w:rsidR="0041202A" w:rsidRPr="001274AB" w:rsidRDefault="0041202A" w:rsidP="0041202A">
      <w:pPr>
        <w:jc w:val="both"/>
        <w:rPr>
          <w:rFonts w:ascii="Times New Roman" w:hAnsi="Times New Roman" w:cs="Times New Roman"/>
        </w:rPr>
      </w:pPr>
      <w:r w:rsidRPr="001274AB">
        <w:rPr>
          <w:rFonts w:ascii="Times New Roman" w:hAnsi="Times New Roman" w:cs="Times New Roman"/>
        </w:rPr>
        <w:t xml:space="preserve">A biztosítási szerződéskötést megelőzően az SFDR rendelet szerint átadandó dokumentumok </w:t>
      </w:r>
    </w:p>
    <w:p w:rsidR="0041202A" w:rsidRPr="001274AB" w:rsidRDefault="0041202A" w:rsidP="0041202A">
      <w:pPr>
        <w:jc w:val="both"/>
        <w:rPr>
          <w:rFonts w:ascii="Times New Roman" w:hAnsi="Times New Roman" w:cs="Times New Roman"/>
        </w:rPr>
      </w:pPr>
      <w:r w:rsidRPr="001274AB">
        <w:rPr>
          <w:rFonts w:ascii="Times New Roman" w:hAnsi="Times New Roman" w:cs="Times New Roman"/>
        </w:rPr>
        <w:t>- az Általános Szerződési Feltételek (papíros alapon, vagy filébe) minden esetben az adott biztosító honlapjáról,</w:t>
      </w:r>
    </w:p>
    <w:p w:rsidR="0041202A" w:rsidRPr="001274AB" w:rsidRDefault="0041202A" w:rsidP="0041202A">
      <w:pPr>
        <w:jc w:val="both"/>
        <w:rPr>
          <w:rFonts w:ascii="Times New Roman" w:hAnsi="Times New Roman" w:cs="Times New Roman"/>
        </w:rPr>
      </w:pPr>
      <w:r w:rsidRPr="001274AB">
        <w:rPr>
          <w:rFonts w:ascii="Times New Roman" w:hAnsi="Times New Roman" w:cs="Times New Roman"/>
        </w:rPr>
        <w:t>- az adott termékre vonatkozó Különös Szerződési Feltételek (papíroson vagy filében), minden esetben az adott biztosító honlapjáról,</w:t>
      </w:r>
    </w:p>
    <w:p w:rsidR="0041202A" w:rsidRPr="001274AB" w:rsidRDefault="0041202A" w:rsidP="0041202A">
      <w:pPr>
        <w:jc w:val="both"/>
        <w:rPr>
          <w:rFonts w:ascii="Times New Roman" w:hAnsi="Times New Roman" w:cs="Times New Roman"/>
        </w:rPr>
      </w:pPr>
      <w:r w:rsidRPr="001274AB">
        <w:rPr>
          <w:rFonts w:ascii="Times New Roman" w:hAnsi="Times New Roman" w:cs="Times New Roman"/>
        </w:rPr>
        <w:t>- eszközalapok jellemzői</w:t>
      </w:r>
    </w:p>
    <w:p w:rsidR="0041202A" w:rsidRPr="001274AB" w:rsidRDefault="0041202A" w:rsidP="0041202A">
      <w:pPr>
        <w:jc w:val="both"/>
        <w:rPr>
          <w:rFonts w:ascii="Times New Roman" w:hAnsi="Times New Roman" w:cs="Times New Roman"/>
        </w:rPr>
      </w:pPr>
      <w:r w:rsidRPr="001274AB">
        <w:rPr>
          <w:rFonts w:ascii="Times New Roman" w:hAnsi="Times New Roman" w:cs="Times New Roman"/>
        </w:rPr>
        <w:t>- Pótlapok, Ügyféltájékoztatók, amik az SFDR előírásainak ismertetését tartalmazzák.</w:t>
      </w:r>
    </w:p>
    <w:p w:rsidR="0041202A" w:rsidRPr="001274AB" w:rsidRDefault="0041202A" w:rsidP="0041202A">
      <w:pPr>
        <w:jc w:val="both"/>
        <w:rPr>
          <w:rFonts w:ascii="Times New Roman" w:hAnsi="Times New Roman" w:cs="Times New Roman"/>
        </w:rPr>
      </w:pPr>
      <w:r w:rsidRPr="001274AB">
        <w:rPr>
          <w:rFonts w:ascii="Times New Roman" w:hAnsi="Times New Roman" w:cs="Times New Roman"/>
        </w:rPr>
        <w:t>(Eszközalapok osztályozása, fenntarthatósági jellemzők, fenntarthatósági kockázatok és várható hozamok stb.)</w:t>
      </w:r>
    </w:p>
    <w:p w:rsidR="0041202A" w:rsidRPr="001274AB" w:rsidRDefault="0041202A" w:rsidP="0041202A">
      <w:pPr>
        <w:jc w:val="both"/>
        <w:rPr>
          <w:rFonts w:ascii="Times New Roman" w:hAnsi="Times New Roman" w:cs="Times New Roman"/>
        </w:rPr>
      </w:pPr>
    </w:p>
    <w:p w:rsidR="0041202A" w:rsidRPr="001274AB" w:rsidRDefault="0041202A" w:rsidP="0041202A">
      <w:pPr>
        <w:jc w:val="both"/>
        <w:rPr>
          <w:rFonts w:ascii="Times New Roman" w:hAnsi="Times New Roman" w:cs="Times New Roman"/>
        </w:rPr>
      </w:pPr>
      <w:r w:rsidRPr="001274AB">
        <w:rPr>
          <w:rFonts w:ascii="Times New Roman" w:hAnsi="Times New Roman" w:cs="Times New Roman"/>
        </w:rPr>
        <w:t>A fenti</w:t>
      </w:r>
      <w:r w:rsidR="00312FA2" w:rsidRPr="001274AB">
        <w:rPr>
          <w:rFonts w:ascii="Times New Roman" w:hAnsi="Times New Roman" w:cs="Times New Roman"/>
        </w:rPr>
        <w:t>ekben felsorolt</w:t>
      </w:r>
      <w:r w:rsidRPr="001274AB">
        <w:rPr>
          <w:rFonts w:ascii="Times New Roman" w:hAnsi="Times New Roman" w:cs="Times New Roman"/>
        </w:rPr>
        <w:t xml:space="preserve"> doku</w:t>
      </w:r>
      <w:r w:rsidR="00BB5E6F">
        <w:rPr>
          <w:rFonts w:ascii="Times New Roman" w:hAnsi="Times New Roman" w:cs="Times New Roman"/>
        </w:rPr>
        <w:t xml:space="preserve">mentumokat elektronikusan vagy ügyfél kifejezett kérésére </w:t>
      </w:r>
      <w:r w:rsidRPr="001274AB">
        <w:rPr>
          <w:rFonts w:ascii="Times New Roman" w:hAnsi="Times New Roman" w:cs="Times New Roman"/>
        </w:rPr>
        <w:t>papí</w:t>
      </w:r>
      <w:r w:rsidR="00312FA2" w:rsidRPr="001274AB">
        <w:rPr>
          <w:rFonts w:ascii="Times New Roman" w:hAnsi="Times New Roman" w:cs="Times New Roman"/>
        </w:rPr>
        <w:t xml:space="preserve">r </w:t>
      </w:r>
      <w:r w:rsidRPr="001274AB">
        <w:rPr>
          <w:rFonts w:ascii="Times New Roman" w:hAnsi="Times New Roman" w:cs="Times New Roman"/>
        </w:rPr>
        <w:t>alapon kell átadni.</w:t>
      </w:r>
      <w:r w:rsidR="00C7658B" w:rsidRPr="001274AB">
        <w:rPr>
          <w:rFonts w:ascii="Times New Roman" w:hAnsi="Times New Roman" w:cs="Times New Roman"/>
        </w:rPr>
        <w:t xml:space="preserve"> Az átadás tényét hitelt érdemlően igazolni kell.</w:t>
      </w:r>
      <w:r w:rsidRPr="001274AB">
        <w:rPr>
          <w:rFonts w:ascii="Times New Roman" w:hAnsi="Times New Roman" w:cs="Times New Roman"/>
        </w:rPr>
        <w:t xml:space="preserve"> </w:t>
      </w:r>
    </w:p>
    <w:p w:rsidR="0041202A" w:rsidRPr="001274AB" w:rsidRDefault="00BB5E6F" w:rsidP="0041202A">
      <w:pPr>
        <w:jc w:val="both"/>
        <w:rPr>
          <w:rFonts w:ascii="Times New Roman" w:hAnsi="Times New Roman" w:cs="Times New Roman"/>
        </w:rPr>
      </w:pPr>
      <w:r>
        <w:rPr>
          <w:rFonts w:ascii="Times New Roman" w:hAnsi="Times New Roman" w:cs="Times New Roman"/>
        </w:rPr>
        <w:t xml:space="preserve">(Elektronikus formában </w:t>
      </w:r>
      <w:r w:rsidR="0041202A" w:rsidRPr="001274AB">
        <w:rPr>
          <w:rFonts w:ascii="Times New Roman" w:hAnsi="Times New Roman" w:cs="Times New Roman"/>
        </w:rPr>
        <w:t>emailen keresztül vagy papíroson, átvételt igazolóan)</w:t>
      </w:r>
    </w:p>
    <w:p w:rsidR="0041202A" w:rsidRPr="001274AB" w:rsidRDefault="00C7658B" w:rsidP="0041202A">
      <w:pPr>
        <w:jc w:val="both"/>
        <w:rPr>
          <w:rFonts w:ascii="Times New Roman" w:hAnsi="Times New Roman" w:cs="Times New Roman"/>
        </w:rPr>
      </w:pPr>
      <w:r w:rsidRPr="001274AB">
        <w:rPr>
          <w:rFonts w:ascii="Times New Roman" w:hAnsi="Times New Roman" w:cs="Times New Roman"/>
        </w:rPr>
        <w:t xml:space="preserve">Ezen </w:t>
      </w:r>
      <w:r w:rsidR="00BB5E6F">
        <w:rPr>
          <w:rFonts w:ascii="Times New Roman" w:hAnsi="Times New Roman" w:cs="Times New Roman"/>
        </w:rPr>
        <w:t xml:space="preserve">igazolását </w:t>
      </w:r>
      <w:r w:rsidR="0041202A" w:rsidRPr="001274AB">
        <w:rPr>
          <w:rFonts w:ascii="Times New Roman" w:hAnsi="Times New Roman" w:cs="Times New Roman"/>
        </w:rPr>
        <w:t>az egyes biztosító</w:t>
      </w:r>
      <w:r w:rsidR="00BB5E6F">
        <w:rPr>
          <w:rFonts w:ascii="Times New Roman" w:hAnsi="Times New Roman" w:cs="Times New Roman"/>
        </w:rPr>
        <w:t xml:space="preserve">kkal való megállapodás szerint </w:t>
      </w:r>
      <w:r w:rsidR="0041202A" w:rsidRPr="001274AB">
        <w:rPr>
          <w:rFonts w:ascii="Times New Roman" w:hAnsi="Times New Roman" w:cs="Times New Roman"/>
        </w:rPr>
        <w:t>továbbítja az érintett biztosító felé.</w:t>
      </w:r>
    </w:p>
    <w:p w:rsidR="0041202A" w:rsidRPr="001274AB" w:rsidRDefault="0041202A" w:rsidP="0041202A">
      <w:pPr>
        <w:jc w:val="both"/>
        <w:rPr>
          <w:rFonts w:ascii="Times New Roman" w:hAnsi="Times New Roman" w:cs="Times New Roman"/>
        </w:rPr>
      </w:pPr>
    </w:p>
    <w:p w:rsidR="00C7658B" w:rsidRPr="001274AB" w:rsidRDefault="00C7658B" w:rsidP="0041202A">
      <w:pPr>
        <w:jc w:val="both"/>
        <w:rPr>
          <w:rFonts w:ascii="Times New Roman" w:hAnsi="Times New Roman" w:cs="Times New Roman"/>
        </w:rPr>
      </w:pPr>
      <w:r w:rsidRPr="001274AB">
        <w:rPr>
          <w:rFonts w:ascii="Times New Roman" w:hAnsi="Times New Roman" w:cs="Times New Roman"/>
        </w:rPr>
        <w:t>Cégünk szoros szakmai együttműködésben áll a biztosítókkal az SFDR előírásainak teljes körű betartása érdekében.</w:t>
      </w:r>
    </w:p>
    <w:p w:rsidR="009B6984" w:rsidRPr="001274AB" w:rsidRDefault="009B6984" w:rsidP="009B6984">
      <w:pPr>
        <w:pStyle w:val="Cmsor1"/>
        <w:rPr>
          <w:rFonts w:ascii="Times New Roman" w:hAnsi="Times New Roman" w:cs="Times New Roman"/>
          <w:sz w:val="32"/>
          <w:szCs w:val="32"/>
        </w:rPr>
      </w:pPr>
      <w:bookmarkStart w:id="17" w:name="_Toc231908642"/>
      <w:r w:rsidRPr="001274AB">
        <w:rPr>
          <w:rFonts w:ascii="Times New Roman" w:hAnsi="Times New Roman" w:cs="Times New Roman"/>
          <w:sz w:val="32"/>
          <w:szCs w:val="32"/>
        </w:rPr>
        <w:t>Záró rendelkezések</w:t>
      </w:r>
      <w:bookmarkEnd w:id="17"/>
    </w:p>
    <w:p w:rsidR="009B6984" w:rsidRPr="001274AB" w:rsidRDefault="009B6984" w:rsidP="009B6984">
      <w:pPr>
        <w:jc w:val="both"/>
        <w:rPr>
          <w:rFonts w:ascii="Times New Roman" w:hAnsi="Times New Roman" w:cs="Times New Roman"/>
        </w:rPr>
      </w:pPr>
      <w:r w:rsidRPr="001274AB">
        <w:rPr>
          <w:rFonts w:ascii="Times New Roman" w:hAnsi="Times New Roman" w:cs="Times New Roman"/>
        </w:rPr>
        <w:t>Az eljárási rend megváltoztatására a Társaság ügyvezetője jogosult.</w:t>
      </w:r>
    </w:p>
    <w:p w:rsidR="009B6984" w:rsidRPr="001274AB" w:rsidRDefault="009B6984" w:rsidP="0041202A">
      <w:pPr>
        <w:jc w:val="both"/>
        <w:rPr>
          <w:rFonts w:ascii="Times New Roman" w:hAnsi="Times New Roman" w:cs="Times New Roman"/>
        </w:rPr>
      </w:pPr>
    </w:p>
    <w:p w:rsidR="0041202A" w:rsidRPr="001274AB" w:rsidRDefault="0041202A" w:rsidP="0041202A">
      <w:pPr>
        <w:jc w:val="both"/>
        <w:rPr>
          <w:rFonts w:ascii="Times New Roman" w:hAnsi="Times New Roman" w:cs="Times New Roman"/>
        </w:rPr>
      </w:pPr>
      <w:r w:rsidRPr="001274AB">
        <w:rPr>
          <w:rFonts w:ascii="Times New Roman" w:hAnsi="Times New Roman" w:cs="Times New Roman"/>
        </w:rPr>
        <w:t>Jelen eljárási rend 202</w:t>
      </w:r>
      <w:r w:rsidR="00113945">
        <w:rPr>
          <w:rFonts w:ascii="Times New Roman" w:hAnsi="Times New Roman" w:cs="Times New Roman"/>
        </w:rPr>
        <w:t>6.06.09</w:t>
      </w:r>
      <w:r w:rsidRPr="001274AB">
        <w:rPr>
          <w:rFonts w:ascii="Times New Roman" w:hAnsi="Times New Roman" w:cs="Times New Roman"/>
        </w:rPr>
        <w:t>.</w:t>
      </w:r>
    </w:p>
    <w:p w:rsidR="0041202A" w:rsidRPr="00113945" w:rsidRDefault="0041202A" w:rsidP="0041202A">
      <w:pPr>
        <w:jc w:val="both"/>
        <w:rPr>
          <w:rFonts w:ascii="Times New Roman" w:hAnsi="Times New Roman" w:cs="Times New Roman"/>
        </w:rPr>
      </w:pPr>
    </w:p>
    <w:p w:rsidR="0041202A" w:rsidRPr="00113945" w:rsidRDefault="00113945" w:rsidP="0041202A">
      <w:pPr>
        <w:jc w:val="right"/>
        <w:rPr>
          <w:rFonts w:ascii="Times New Roman" w:hAnsi="Times New Roman" w:cs="Times New Roman"/>
          <w:iCs/>
        </w:rPr>
      </w:pPr>
      <w:r>
        <w:rPr>
          <w:rFonts w:ascii="Times New Roman" w:hAnsi="Times New Roman" w:cs="Times New Roman"/>
          <w:iCs/>
        </w:rPr>
        <w:t>Szabó István</w:t>
      </w:r>
      <w:r w:rsidR="0041202A" w:rsidRPr="00113945">
        <w:rPr>
          <w:rFonts w:ascii="Times New Roman" w:hAnsi="Times New Roman" w:cs="Times New Roman"/>
          <w:iCs/>
        </w:rPr>
        <w:t xml:space="preserve"> Gábor</w:t>
      </w:r>
    </w:p>
    <w:p w:rsidR="0041202A" w:rsidRPr="001274AB" w:rsidRDefault="0041202A" w:rsidP="0041202A">
      <w:pPr>
        <w:jc w:val="right"/>
        <w:rPr>
          <w:rFonts w:ascii="Times New Roman" w:hAnsi="Times New Roman" w:cs="Times New Roman"/>
        </w:rPr>
      </w:pPr>
      <w:r w:rsidRPr="001274AB">
        <w:rPr>
          <w:rFonts w:ascii="Times New Roman" w:hAnsi="Times New Roman" w:cs="Times New Roman"/>
        </w:rPr>
        <w:tab/>
      </w:r>
      <w:r w:rsidRPr="001274AB">
        <w:rPr>
          <w:rFonts w:ascii="Times New Roman" w:hAnsi="Times New Roman" w:cs="Times New Roman"/>
        </w:rPr>
        <w:tab/>
      </w:r>
      <w:r w:rsidRPr="001274AB">
        <w:rPr>
          <w:rFonts w:ascii="Times New Roman" w:hAnsi="Times New Roman" w:cs="Times New Roman"/>
        </w:rPr>
        <w:tab/>
      </w:r>
      <w:r w:rsidRPr="001274AB">
        <w:rPr>
          <w:rFonts w:ascii="Times New Roman" w:hAnsi="Times New Roman" w:cs="Times New Roman"/>
        </w:rPr>
        <w:tab/>
      </w:r>
      <w:r w:rsidRPr="001274AB">
        <w:rPr>
          <w:rFonts w:ascii="Times New Roman" w:hAnsi="Times New Roman" w:cs="Times New Roman"/>
        </w:rPr>
        <w:tab/>
      </w:r>
      <w:r w:rsidRPr="001274AB">
        <w:rPr>
          <w:rFonts w:ascii="Times New Roman" w:hAnsi="Times New Roman" w:cs="Times New Roman"/>
        </w:rPr>
        <w:tab/>
      </w:r>
      <w:r w:rsidRPr="001274AB">
        <w:rPr>
          <w:rFonts w:ascii="Times New Roman" w:hAnsi="Times New Roman" w:cs="Times New Roman"/>
        </w:rPr>
        <w:tab/>
        <w:t>ügyvezető</w:t>
      </w:r>
    </w:p>
    <w:p w:rsidR="0041202A" w:rsidRPr="001274AB" w:rsidRDefault="0041202A" w:rsidP="0041202A">
      <w:pPr>
        <w:rPr>
          <w:rFonts w:ascii="Times New Roman" w:hAnsi="Times New Roman" w:cs="Times New Roman"/>
        </w:rPr>
      </w:pPr>
      <w:r w:rsidRPr="001274AB">
        <w:rPr>
          <w:rFonts w:ascii="Times New Roman" w:hAnsi="Times New Roman" w:cs="Times New Roman"/>
        </w:rPr>
        <w:br w:type="page"/>
      </w:r>
    </w:p>
    <w:p w:rsidR="0041202A" w:rsidRPr="001274AB" w:rsidRDefault="0041202A" w:rsidP="00950F8E">
      <w:pPr>
        <w:pStyle w:val="Cmsor1"/>
        <w:rPr>
          <w:rFonts w:ascii="Times New Roman" w:hAnsi="Times New Roman" w:cs="Times New Roman"/>
          <w:sz w:val="22"/>
          <w:szCs w:val="22"/>
        </w:rPr>
      </w:pPr>
      <w:bookmarkStart w:id="18" w:name="_Toc231908643"/>
      <w:r w:rsidRPr="001274AB">
        <w:rPr>
          <w:rFonts w:ascii="Times New Roman" w:hAnsi="Times New Roman" w:cs="Times New Roman"/>
          <w:sz w:val="22"/>
          <w:szCs w:val="22"/>
        </w:rPr>
        <w:lastRenderedPageBreak/>
        <w:t>1. sz. melléklet</w:t>
      </w:r>
      <w:bookmarkEnd w:id="18"/>
    </w:p>
    <w:p w:rsidR="0041202A" w:rsidRPr="001274AB" w:rsidRDefault="0041202A" w:rsidP="0041202A">
      <w:pPr>
        <w:jc w:val="both"/>
        <w:rPr>
          <w:rFonts w:ascii="Times New Roman" w:hAnsi="Times New Roman" w:cs="Times New Roman"/>
        </w:rPr>
      </w:pPr>
    </w:p>
    <w:p w:rsidR="0041202A" w:rsidRPr="001274AB" w:rsidRDefault="0041202A" w:rsidP="0041202A">
      <w:pPr>
        <w:jc w:val="both"/>
        <w:rPr>
          <w:rFonts w:ascii="Times New Roman" w:hAnsi="Times New Roman" w:cs="Times New Roman"/>
        </w:rPr>
      </w:pPr>
      <w:r w:rsidRPr="001274AB">
        <w:rPr>
          <w:rFonts w:ascii="Times New Roman" w:hAnsi="Times New Roman" w:cs="Times New Roman"/>
        </w:rPr>
        <w:t>Egyes biztosítók értékesíthető termékei</w:t>
      </w:r>
    </w:p>
    <w:p w:rsidR="0041202A" w:rsidRPr="001274AB" w:rsidRDefault="0041202A" w:rsidP="0041202A">
      <w:pPr>
        <w:jc w:val="both"/>
        <w:rPr>
          <w:rFonts w:ascii="Times New Roman" w:hAnsi="Times New Roman" w:cs="Times New Roman"/>
        </w:rPr>
      </w:pPr>
    </w:p>
    <w:p w:rsidR="0041202A" w:rsidRPr="001274AB" w:rsidRDefault="00193C46" w:rsidP="0041202A">
      <w:pPr>
        <w:jc w:val="both"/>
        <w:rPr>
          <w:rFonts w:ascii="Times New Roman" w:hAnsi="Times New Roman" w:cs="Times New Roman"/>
        </w:rPr>
      </w:pPr>
      <w:r w:rsidRPr="001274AB">
        <w:rPr>
          <w:rFonts w:ascii="Times New Roman" w:hAnsi="Times New Roman" w:cs="Times New Roman"/>
          <w:u w:val="single"/>
        </w:rPr>
        <w:t xml:space="preserve">Alfa </w:t>
      </w:r>
      <w:r w:rsidR="0041202A" w:rsidRPr="001274AB">
        <w:rPr>
          <w:rFonts w:ascii="Times New Roman" w:hAnsi="Times New Roman" w:cs="Times New Roman"/>
          <w:u w:val="single"/>
        </w:rPr>
        <w:t>Biztosító</w:t>
      </w:r>
    </w:p>
    <w:p w:rsidR="00594782" w:rsidRPr="001274AB" w:rsidRDefault="00594782" w:rsidP="00594782">
      <w:pPr>
        <w:ind w:left="709"/>
        <w:jc w:val="both"/>
        <w:rPr>
          <w:rFonts w:ascii="Times New Roman" w:hAnsi="Times New Roman" w:cs="Times New Roman"/>
        </w:rPr>
      </w:pPr>
      <w:r w:rsidRPr="001274AB">
        <w:rPr>
          <w:rFonts w:ascii="Times New Roman" w:hAnsi="Times New Roman" w:cs="Times New Roman"/>
        </w:rPr>
        <w:t>Alfa Zen Pro</w:t>
      </w:r>
      <w:r w:rsidR="00EF2B53" w:rsidRPr="001274AB">
        <w:rPr>
          <w:rFonts w:ascii="Times New Roman" w:hAnsi="Times New Roman" w:cs="Times New Roman"/>
        </w:rPr>
        <w:t xml:space="preserve"> </w:t>
      </w:r>
      <w:r w:rsidRPr="001274AB">
        <w:rPr>
          <w:rFonts w:ascii="Times New Roman" w:hAnsi="Times New Roman" w:cs="Times New Roman"/>
        </w:rPr>
        <w:t>nyugdíjbiztosítás</w:t>
      </w:r>
    </w:p>
    <w:p w:rsidR="00594782" w:rsidRPr="001274AB" w:rsidRDefault="00594782" w:rsidP="00594782">
      <w:pPr>
        <w:ind w:left="709"/>
        <w:jc w:val="both"/>
        <w:rPr>
          <w:rFonts w:ascii="Times New Roman" w:hAnsi="Times New Roman" w:cs="Times New Roman"/>
        </w:rPr>
      </w:pPr>
      <w:r w:rsidRPr="001274AB">
        <w:rPr>
          <w:rFonts w:ascii="Times New Roman" w:hAnsi="Times New Roman" w:cs="Times New Roman"/>
        </w:rPr>
        <w:t>Alfa Fortis életbiztosítás</w:t>
      </w:r>
    </w:p>
    <w:p w:rsidR="00EF2B53" w:rsidRPr="001274AB" w:rsidRDefault="00EF2B53" w:rsidP="00594782">
      <w:pPr>
        <w:ind w:left="709"/>
        <w:jc w:val="both"/>
        <w:rPr>
          <w:rFonts w:ascii="Times New Roman" w:hAnsi="Times New Roman" w:cs="Times New Roman"/>
        </w:rPr>
      </w:pPr>
      <w:r w:rsidRPr="001274AB">
        <w:rPr>
          <w:rFonts w:ascii="Times New Roman" w:hAnsi="Times New Roman" w:cs="Times New Roman"/>
        </w:rPr>
        <w:t>Alfa NOVA egyszeri díjas</w:t>
      </w:r>
    </w:p>
    <w:p w:rsidR="00385DE5" w:rsidRPr="001274AB" w:rsidRDefault="00385DE5" w:rsidP="00385DE5">
      <w:pPr>
        <w:ind w:left="709"/>
        <w:jc w:val="both"/>
        <w:rPr>
          <w:rFonts w:ascii="Times New Roman" w:hAnsi="Times New Roman" w:cs="Times New Roman"/>
        </w:rPr>
      </w:pPr>
      <w:r w:rsidRPr="001274AB">
        <w:rPr>
          <w:rFonts w:ascii="Times New Roman" w:hAnsi="Times New Roman" w:cs="Times New Roman"/>
        </w:rPr>
        <w:t>Alfa Gondoskodás</w:t>
      </w:r>
    </w:p>
    <w:p w:rsidR="00D22FDD" w:rsidRPr="001274AB" w:rsidRDefault="00D22FDD" w:rsidP="00385DE5">
      <w:pPr>
        <w:ind w:left="709"/>
        <w:jc w:val="both"/>
        <w:rPr>
          <w:rFonts w:ascii="Times New Roman" w:hAnsi="Times New Roman" w:cs="Times New Roman"/>
        </w:rPr>
      </w:pPr>
      <w:r w:rsidRPr="001274AB">
        <w:rPr>
          <w:rFonts w:ascii="Times New Roman" w:hAnsi="Times New Roman" w:cs="Times New Roman"/>
        </w:rPr>
        <w:t>Alfa Prémium életbiztosítások</w:t>
      </w:r>
    </w:p>
    <w:p w:rsidR="0041202A" w:rsidRPr="001274AB" w:rsidRDefault="0041202A" w:rsidP="0041202A">
      <w:pPr>
        <w:jc w:val="both"/>
        <w:rPr>
          <w:rFonts w:ascii="Times New Roman" w:hAnsi="Times New Roman" w:cs="Times New Roman"/>
        </w:rPr>
      </w:pPr>
    </w:p>
    <w:p w:rsidR="0041202A" w:rsidRPr="001274AB" w:rsidRDefault="0041202A" w:rsidP="0041202A">
      <w:pPr>
        <w:jc w:val="both"/>
        <w:rPr>
          <w:rFonts w:ascii="Times New Roman" w:hAnsi="Times New Roman" w:cs="Times New Roman"/>
        </w:rPr>
      </w:pPr>
      <w:r w:rsidRPr="001274AB">
        <w:rPr>
          <w:rFonts w:ascii="Times New Roman" w:hAnsi="Times New Roman" w:cs="Times New Roman"/>
          <w:u w:val="single"/>
        </w:rPr>
        <w:t>Allianz Biztosító</w:t>
      </w:r>
    </w:p>
    <w:p w:rsidR="0041202A" w:rsidRDefault="0041202A" w:rsidP="00BC1DAD">
      <w:pPr>
        <w:jc w:val="both"/>
        <w:rPr>
          <w:rFonts w:ascii="Times New Roman" w:hAnsi="Times New Roman" w:cs="Times New Roman"/>
        </w:rPr>
      </w:pPr>
      <w:r w:rsidRPr="001274AB">
        <w:rPr>
          <w:rFonts w:ascii="Times New Roman" w:hAnsi="Times New Roman" w:cs="Times New Roman"/>
        </w:rPr>
        <w:tab/>
      </w:r>
      <w:r w:rsidR="00BC1DAD">
        <w:rPr>
          <w:rFonts w:ascii="Times New Roman" w:hAnsi="Times New Roman" w:cs="Times New Roman"/>
        </w:rPr>
        <w:t>Allianz Életprogram</w:t>
      </w:r>
    </w:p>
    <w:p w:rsidR="005B547F" w:rsidRPr="005B547F" w:rsidRDefault="00BC1DAD" w:rsidP="0041202A">
      <w:pPr>
        <w:jc w:val="both"/>
        <w:rPr>
          <w:rFonts w:ascii="Times New Roman" w:hAnsi="Times New Roman" w:cs="Times New Roman"/>
        </w:rPr>
      </w:pPr>
      <w:r>
        <w:rPr>
          <w:rFonts w:ascii="Times New Roman" w:hAnsi="Times New Roman" w:cs="Times New Roman"/>
        </w:rPr>
        <w:tab/>
        <w:t>Allianz Bónusz Életprogram</w:t>
      </w:r>
    </w:p>
    <w:p w:rsidR="005B547F" w:rsidRDefault="005B547F" w:rsidP="0041202A">
      <w:pPr>
        <w:jc w:val="both"/>
        <w:rPr>
          <w:rFonts w:ascii="Times New Roman" w:hAnsi="Times New Roman" w:cs="Times New Roman"/>
          <w:u w:val="single"/>
        </w:rPr>
      </w:pPr>
    </w:p>
    <w:p w:rsidR="0041202A" w:rsidRPr="001274AB" w:rsidRDefault="0041202A" w:rsidP="0041202A">
      <w:pPr>
        <w:jc w:val="both"/>
        <w:rPr>
          <w:rFonts w:ascii="Times New Roman" w:hAnsi="Times New Roman" w:cs="Times New Roman"/>
        </w:rPr>
      </w:pPr>
      <w:r w:rsidRPr="001274AB">
        <w:rPr>
          <w:rFonts w:ascii="Times New Roman" w:hAnsi="Times New Roman" w:cs="Times New Roman"/>
          <w:u w:val="single"/>
        </w:rPr>
        <w:t>CIG Életbztosító</w:t>
      </w:r>
    </w:p>
    <w:p w:rsidR="0041202A" w:rsidRDefault="0041202A" w:rsidP="00734877">
      <w:pPr>
        <w:jc w:val="both"/>
        <w:rPr>
          <w:rFonts w:ascii="Times New Roman" w:hAnsi="Times New Roman" w:cs="Times New Roman"/>
        </w:rPr>
      </w:pPr>
      <w:r w:rsidRPr="001274AB">
        <w:rPr>
          <w:rFonts w:ascii="Times New Roman" w:hAnsi="Times New Roman" w:cs="Times New Roman"/>
        </w:rPr>
        <w:tab/>
      </w:r>
      <w:hyperlink r:id="rId9" w:tgtFrame="_self" w:history="1">
        <w:r w:rsidR="00734877" w:rsidRPr="00734877">
          <w:rPr>
            <w:rFonts w:ascii="Times New Roman" w:hAnsi="Times New Roman" w:cs="Times New Roman"/>
          </w:rPr>
          <w:t xml:space="preserve">Pannónia Esszenciaᴱ Életbiztosítás </w:t>
        </w:r>
      </w:hyperlink>
    </w:p>
    <w:p w:rsidR="00734877" w:rsidRDefault="00734877" w:rsidP="00734877">
      <w:pPr>
        <w:jc w:val="both"/>
        <w:rPr>
          <w:rFonts w:ascii="Times New Roman" w:hAnsi="Times New Roman" w:cs="Times New Roman"/>
        </w:rPr>
      </w:pPr>
      <w:r>
        <w:rPr>
          <w:rFonts w:ascii="Times New Roman" w:hAnsi="Times New Roman" w:cs="Times New Roman"/>
        </w:rPr>
        <w:t xml:space="preserve">            </w:t>
      </w:r>
      <w:r w:rsidRPr="00734877">
        <w:rPr>
          <w:rFonts w:ascii="Times New Roman" w:hAnsi="Times New Roman" w:cs="Times New Roman"/>
        </w:rPr>
        <w:t>Pannónia Ametiszt Egyszeri Díjas Életbiztosítás</w:t>
      </w:r>
    </w:p>
    <w:p w:rsidR="00734877" w:rsidRPr="001274AB" w:rsidRDefault="00734877" w:rsidP="00734877">
      <w:pPr>
        <w:jc w:val="both"/>
        <w:rPr>
          <w:rFonts w:ascii="Times New Roman" w:hAnsi="Times New Roman" w:cs="Times New Roman"/>
        </w:rPr>
      </w:pPr>
    </w:p>
    <w:p w:rsidR="0041202A" w:rsidRPr="001274AB" w:rsidRDefault="0041202A" w:rsidP="0041202A">
      <w:pPr>
        <w:jc w:val="both"/>
        <w:rPr>
          <w:rFonts w:ascii="Times New Roman" w:hAnsi="Times New Roman" w:cs="Times New Roman"/>
        </w:rPr>
      </w:pPr>
      <w:r w:rsidRPr="001274AB">
        <w:rPr>
          <w:rFonts w:ascii="Times New Roman" w:hAnsi="Times New Roman" w:cs="Times New Roman"/>
          <w:u w:val="single"/>
        </w:rPr>
        <w:t>Generali Biztosító</w:t>
      </w:r>
    </w:p>
    <w:p w:rsidR="00734877" w:rsidRPr="00734877" w:rsidRDefault="00734877" w:rsidP="00734877">
      <w:pPr>
        <w:jc w:val="both"/>
        <w:rPr>
          <w:rFonts w:ascii="Times New Roman" w:hAnsi="Times New Roman" w:cs="Times New Roman"/>
        </w:rPr>
      </w:pPr>
      <w:r>
        <w:rPr>
          <w:rFonts w:ascii="Times New Roman" w:hAnsi="Times New Roman" w:cs="Times New Roman"/>
        </w:rPr>
        <w:t xml:space="preserve">             </w:t>
      </w:r>
      <w:r w:rsidRPr="00734877">
        <w:rPr>
          <w:rFonts w:ascii="Times New Roman" w:hAnsi="Times New Roman" w:cs="Times New Roman"/>
        </w:rPr>
        <w:t>mylife extra plusz élethosszig tartó életbiztosítás</w:t>
      </w:r>
    </w:p>
    <w:p w:rsidR="005B547F" w:rsidRPr="001274AB" w:rsidRDefault="005B547F" w:rsidP="0041202A">
      <w:pPr>
        <w:jc w:val="both"/>
        <w:rPr>
          <w:rFonts w:ascii="Times New Roman" w:hAnsi="Times New Roman" w:cs="Times New Roman"/>
        </w:rPr>
      </w:pPr>
    </w:p>
    <w:p w:rsidR="0041202A" w:rsidRPr="001274AB" w:rsidRDefault="0041202A" w:rsidP="0041202A">
      <w:pPr>
        <w:jc w:val="both"/>
        <w:rPr>
          <w:rFonts w:ascii="Times New Roman" w:hAnsi="Times New Roman" w:cs="Times New Roman"/>
        </w:rPr>
      </w:pPr>
      <w:r w:rsidRPr="001274AB">
        <w:rPr>
          <w:rFonts w:ascii="Times New Roman" w:hAnsi="Times New Roman" w:cs="Times New Roman"/>
          <w:u w:val="single"/>
        </w:rPr>
        <w:t>Signal Iduna Biztosító</w:t>
      </w:r>
    </w:p>
    <w:p w:rsidR="0041202A" w:rsidRPr="001274AB" w:rsidRDefault="0041202A" w:rsidP="00734877">
      <w:pPr>
        <w:jc w:val="both"/>
        <w:rPr>
          <w:rFonts w:ascii="Times New Roman" w:hAnsi="Times New Roman" w:cs="Times New Roman"/>
        </w:rPr>
      </w:pPr>
      <w:r w:rsidRPr="001274AB">
        <w:rPr>
          <w:rFonts w:ascii="Times New Roman" w:hAnsi="Times New Roman" w:cs="Times New Roman"/>
        </w:rPr>
        <w:tab/>
        <w:t>Előrelátó Program</w:t>
      </w:r>
    </w:p>
    <w:p w:rsidR="0041202A" w:rsidRPr="001274AB" w:rsidRDefault="0041202A" w:rsidP="0041202A">
      <w:pPr>
        <w:jc w:val="both"/>
        <w:rPr>
          <w:rFonts w:ascii="Times New Roman" w:hAnsi="Times New Roman" w:cs="Times New Roman"/>
        </w:rPr>
      </w:pPr>
    </w:p>
    <w:p w:rsidR="0041202A" w:rsidRPr="001274AB" w:rsidRDefault="0041202A" w:rsidP="0041202A">
      <w:pPr>
        <w:jc w:val="both"/>
        <w:rPr>
          <w:rFonts w:ascii="Times New Roman" w:hAnsi="Times New Roman" w:cs="Times New Roman"/>
        </w:rPr>
      </w:pPr>
      <w:r w:rsidRPr="001274AB">
        <w:rPr>
          <w:rFonts w:ascii="Times New Roman" w:hAnsi="Times New Roman" w:cs="Times New Roman"/>
          <w:u w:val="single"/>
        </w:rPr>
        <w:t>UNION Biztosító</w:t>
      </w:r>
    </w:p>
    <w:p w:rsidR="0041202A" w:rsidRDefault="0041202A" w:rsidP="00734877">
      <w:pPr>
        <w:jc w:val="both"/>
        <w:rPr>
          <w:rFonts w:ascii="Times New Roman" w:hAnsi="Times New Roman" w:cs="Times New Roman"/>
        </w:rPr>
      </w:pPr>
      <w:r w:rsidRPr="001274AB">
        <w:rPr>
          <w:rFonts w:ascii="Times New Roman" w:hAnsi="Times New Roman" w:cs="Times New Roman"/>
        </w:rPr>
        <w:tab/>
      </w:r>
      <w:r w:rsidR="00BE34A7">
        <w:rPr>
          <w:rFonts w:ascii="Times New Roman" w:hAnsi="Times New Roman" w:cs="Times New Roman"/>
        </w:rPr>
        <w:t>Vienna Age</w:t>
      </w:r>
    </w:p>
    <w:p w:rsidR="00BE34A7" w:rsidRDefault="00BE34A7" w:rsidP="00734877">
      <w:pPr>
        <w:jc w:val="both"/>
        <w:rPr>
          <w:rFonts w:ascii="Times New Roman" w:hAnsi="Times New Roman" w:cs="Times New Roman"/>
        </w:rPr>
      </w:pPr>
      <w:r>
        <w:rPr>
          <w:rFonts w:ascii="Times New Roman" w:hAnsi="Times New Roman" w:cs="Times New Roman"/>
        </w:rPr>
        <w:t xml:space="preserve">            Vienna Plan</w:t>
      </w:r>
    </w:p>
    <w:p w:rsidR="00BE34A7" w:rsidRPr="001274AB" w:rsidRDefault="00BE34A7" w:rsidP="00734877">
      <w:pPr>
        <w:jc w:val="both"/>
        <w:rPr>
          <w:rFonts w:ascii="Times New Roman" w:hAnsi="Times New Roman" w:cs="Times New Roman"/>
        </w:rPr>
      </w:pPr>
      <w:r>
        <w:rPr>
          <w:rFonts w:ascii="Times New Roman" w:hAnsi="Times New Roman" w:cs="Times New Roman"/>
        </w:rPr>
        <w:t xml:space="preserve">            Vienna Go</w:t>
      </w:r>
    </w:p>
    <w:p w:rsidR="0041202A" w:rsidRPr="001274AB" w:rsidRDefault="0041202A" w:rsidP="0041202A">
      <w:pPr>
        <w:jc w:val="both"/>
        <w:rPr>
          <w:rFonts w:ascii="Times New Roman" w:hAnsi="Times New Roman" w:cs="Times New Roman"/>
        </w:rPr>
      </w:pPr>
    </w:p>
    <w:p w:rsidR="0041202A" w:rsidRDefault="0041202A" w:rsidP="0041202A">
      <w:pPr>
        <w:jc w:val="both"/>
        <w:rPr>
          <w:rFonts w:ascii="Times New Roman" w:hAnsi="Times New Roman" w:cs="Times New Roman"/>
          <w:u w:val="single"/>
        </w:rPr>
      </w:pPr>
      <w:r w:rsidRPr="001274AB">
        <w:rPr>
          <w:rFonts w:ascii="Times New Roman" w:hAnsi="Times New Roman" w:cs="Times New Roman"/>
          <w:u w:val="single"/>
        </w:rPr>
        <w:t>Uniqa Biztosító</w:t>
      </w:r>
    </w:p>
    <w:p w:rsidR="00C60BE6" w:rsidRPr="00C60BE6" w:rsidRDefault="00C60BE6" w:rsidP="0041202A">
      <w:pPr>
        <w:jc w:val="both"/>
        <w:rPr>
          <w:rFonts w:ascii="Times New Roman" w:hAnsi="Times New Roman" w:cs="Times New Roman"/>
        </w:rPr>
      </w:pPr>
      <w:r w:rsidRPr="00C60BE6">
        <w:rPr>
          <w:rFonts w:ascii="Times New Roman" w:hAnsi="Times New Roman" w:cs="Times New Roman"/>
        </w:rPr>
        <w:t xml:space="preserve">            Uniqua Jövőkulcs Prémium</w:t>
      </w:r>
    </w:p>
    <w:p w:rsidR="00C60BE6" w:rsidRPr="00C60BE6" w:rsidRDefault="00C60BE6" w:rsidP="0041202A">
      <w:pPr>
        <w:jc w:val="both"/>
        <w:rPr>
          <w:rFonts w:ascii="Times New Roman" w:hAnsi="Times New Roman" w:cs="Times New Roman"/>
        </w:rPr>
      </w:pPr>
      <w:r w:rsidRPr="00C60BE6">
        <w:rPr>
          <w:rFonts w:ascii="Times New Roman" w:hAnsi="Times New Roman" w:cs="Times New Roman"/>
        </w:rPr>
        <w:t xml:space="preserve">            Uniqua Mozaik Prémium</w:t>
      </w:r>
    </w:p>
    <w:p w:rsidR="005B547F" w:rsidRPr="00C60BE6" w:rsidRDefault="0041202A" w:rsidP="005B547F">
      <w:pPr>
        <w:jc w:val="both"/>
        <w:rPr>
          <w:rFonts w:ascii="Times New Roman" w:hAnsi="Times New Roman" w:cs="Times New Roman"/>
        </w:rPr>
      </w:pPr>
      <w:r w:rsidRPr="00C60BE6">
        <w:rPr>
          <w:rFonts w:ascii="Times New Roman" w:hAnsi="Times New Roman" w:cs="Times New Roman"/>
        </w:rPr>
        <w:tab/>
      </w:r>
    </w:p>
    <w:p w:rsidR="00001B52" w:rsidRPr="00C60BE6" w:rsidRDefault="005B547F" w:rsidP="005B547F">
      <w:pPr>
        <w:rPr>
          <w:rFonts w:ascii="Times New Roman" w:hAnsi="Times New Roman" w:cs="Times New Roman"/>
        </w:rPr>
      </w:pPr>
      <w:r w:rsidRPr="00C60BE6">
        <w:rPr>
          <w:rFonts w:ascii="Times New Roman" w:hAnsi="Times New Roman" w:cs="Times New Roman"/>
        </w:rPr>
        <w:br w:type="page"/>
      </w:r>
      <w:bookmarkEnd w:id="12"/>
      <w:bookmarkEnd w:id="13"/>
    </w:p>
    <w:p w:rsidR="00001B52" w:rsidRPr="001274AB" w:rsidRDefault="00001B52" w:rsidP="00001B52">
      <w:pPr>
        <w:pStyle w:val="Cmsor1"/>
        <w:rPr>
          <w:rFonts w:ascii="Times New Roman" w:hAnsi="Times New Roman" w:cs="Times New Roman"/>
          <w:sz w:val="22"/>
          <w:szCs w:val="22"/>
        </w:rPr>
      </w:pPr>
      <w:bookmarkStart w:id="19" w:name="_Toc231908644"/>
      <w:r w:rsidRPr="001274AB">
        <w:rPr>
          <w:rFonts w:ascii="Times New Roman" w:hAnsi="Times New Roman" w:cs="Times New Roman"/>
          <w:sz w:val="22"/>
          <w:szCs w:val="22"/>
        </w:rPr>
        <w:lastRenderedPageBreak/>
        <w:t>2. számú melléklet</w:t>
      </w:r>
      <w:bookmarkEnd w:id="19"/>
    </w:p>
    <w:p w:rsidR="00001B52" w:rsidRPr="001274AB" w:rsidRDefault="00001B52" w:rsidP="00DA11B8">
      <w:pPr>
        <w:jc w:val="both"/>
        <w:rPr>
          <w:rFonts w:ascii="Times New Roman" w:hAnsi="Times New Roman" w:cs="Times New Roman"/>
        </w:rPr>
      </w:pPr>
    </w:p>
    <w:p w:rsidR="00001B52" w:rsidRPr="001274AB" w:rsidRDefault="00001B52" w:rsidP="00001B52">
      <w:pPr>
        <w:jc w:val="center"/>
        <w:rPr>
          <w:rFonts w:ascii="Times New Roman" w:hAnsi="Times New Roman" w:cs="Times New Roman"/>
          <w:b/>
          <w:bCs/>
        </w:rPr>
      </w:pPr>
      <w:r w:rsidRPr="001274AB">
        <w:rPr>
          <w:rFonts w:ascii="Times New Roman" w:hAnsi="Times New Roman" w:cs="Times New Roman"/>
          <w:b/>
          <w:bCs/>
        </w:rPr>
        <w:t>ÜGYFÉLIGÉNY-FELMÉRŐ LAP ESG ÉS SFDR KIEGÉSZÍTÉS</w:t>
      </w:r>
    </w:p>
    <w:p w:rsidR="00001B52" w:rsidRPr="001274AB" w:rsidRDefault="00001B52" w:rsidP="00001B52">
      <w:pPr>
        <w:jc w:val="both"/>
        <w:rPr>
          <w:rFonts w:ascii="Times New Roman" w:hAnsi="Times New Roman" w:cs="Times New Roman"/>
          <w:b/>
          <w:bCs/>
        </w:rPr>
      </w:pPr>
    </w:p>
    <w:p w:rsidR="00001B52" w:rsidRPr="001274AB" w:rsidRDefault="00001B52" w:rsidP="00001B52">
      <w:pPr>
        <w:jc w:val="both"/>
        <w:rPr>
          <w:rFonts w:ascii="Times New Roman" w:hAnsi="Times New Roman" w:cs="Times New Roman"/>
        </w:rPr>
      </w:pPr>
      <w:r w:rsidRPr="001274AB">
        <w:rPr>
          <w:rFonts w:ascii="Times New Roman" w:hAnsi="Times New Roman" w:cs="Times New Roman"/>
          <w:b/>
          <w:bCs/>
        </w:rPr>
        <w:t>Ügyfél neve:</w:t>
      </w:r>
      <w:r w:rsidRPr="001274AB">
        <w:rPr>
          <w:rFonts w:ascii="Times New Roman" w:hAnsi="Times New Roman" w:cs="Times New Roman"/>
        </w:rPr>
        <w:t xml:space="preserve"> ............................................................................ </w:t>
      </w:r>
    </w:p>
    <w:p w:rsidR="00001B52" w:rsidRPr="001274AB" w:rsidRDefault="00001B52" w:rsidP="00001B52">
      <w:pPr>
        <w:jc w:val="both"/>
        <w:rPr>
          <w:rFonts w:ascii="Times New Roman" w:hAnsi="Times New Roman" w:cs="Times New Roman"/>
        </w:rPr>
      </w:pPr>
      <w:r w:rsidRPr="001274AB">
        <w:rPr>
          <w:rFonts w:ascii="Times New Roman" w:hAnsi="Times New Roman" w:cs="Times New Roman"/>
          <w:b/>
          <w:bCs/>
        </w:rPr>
        <w:t>Szerződésszám / Ajánlatszám:</w:t>
      </w:r>
      <w:r w:rsidRPr="001274AB">
        <w:rPr>
          <w:rFonts w:ascii="Times New Roman" w:hAnsi="Times New Roman" w:cs="Times New Roman"/>
        </w:rPr>
        <w:t xml:space="preserve"> ...................................................</w:t>
      </w:r>
    </w:p>
    <w:p w:rsidR="00001B52" w:rsidRPr="001274AB" w:rsidRDefault="00001B52" w:rsidP="00001B52">
      <w:pPr>
        <w:jc w:val="both"/>
        <w:rPr>
          <w:rFonts w:ascii="Times New Roman" w:hAnsi="Times New Roman" w:cs="Times New Roman"/>
        </w:rPr>
      </w:pPr>
      <w:r w:rsidRPr="001274AB">
        <w:rPr>
          <w:rFonts w:ascii="Times New Roman" w:hAnsi="Times New Roman" w:cs="Times New Roman"/>
        </w:rPr>
        <w:t>A pénzügyi szolgáltatási ágazatban a fenntarthatósággal kapcsolatos közzétételekről szóló (EU) 2019/2088 rendelet (SFDR) alapján a biztosításközvetítő köteles felmérni az Ön fenntarthatósági preferenciáit a biztosítási alapú befektetési termék (MABISZ/IBIP) kiválasztása előtt.</w:t>
      </w:r>
    </w:p>
    <w:p w:rsidR="00001B52" w:rsidRPr="001274AB" w:rsidRDefault="00001B52" w:rsidP="00001B52">
      <w:pPr>
        <w:jc w:val="both"/>
        <w:rPr>
          <w:rFonts w:ascii="Times New Roman" w:hAnsi="Times New Roman" w:cs="Times New Roman"/>
          <w:b/>
          <w:bCs/>
        </w:rPr>
      </w:pPr>
    </w:p>
    <w:p w:rsidR="00001B52" w:rsidRPr="001274AB" w:rsidRDefault="00001B52" w:rsidP="00001B52">
      <w:pPr>
        <w:jc w:val="both"/>
        <w:rPr>
          <w:rFonts w:ascii="Times New Roman" w:hAnsi="Times New Roman" w:cs="Times New Roman"/>
          <w:b/>
          <w:bCs/>
        </w:rPr>
      </w:pPr>
      <w:r w:rsidRPr="001274AB">
        <w:rPr>
          <w:rFonts w:ascii="Times New Roman" w:hAnsi="Times New Roman" w:cs="Times New Roman"/>
          <w:b/>
          <w:bCs/>
        </w:rPr>
        <w:t>1. Kérdés: Fenntarthatósági preferencia</w:t>
      </w:r>
    </w:p>
    <w:p w:rsidR="00001B52" w:rsidRPr="001274AB" w:rsidRDefault="00001B52" w:rsidP="00001B52">
      <w:pPr>
        <w:jc w:val="both"/>
        <w:rPr>
          <w:rFonts w:ascii="Times New Roman" w:hAnsi="Times New Roman" w:cs="Times New Roman"/>
        </w:rPr>
      </w:pPr>
      <w:r w:rsidRPr="001274AB">
        <w:rPr>
          <w:rFonts w:ascii="Times New Roman" w:hAnsi="Times New Roman" w:cs="Times New Roman"/>
        </w:rPr>
        <w:t>Óhajtja-e Ön, hogy a biztosítási szerződés keretében elhelyezett befektetései részben vagy egészben környezeti, társadalmi vagy vállalatirányítási (ESG) szempontból fenntartható gazdasági tevékenységeket finanszírozzanak?</w:t>
      </w:r>
    </w:p>
    <w:p w:rsidR="00001B52" w:rsidRPr="001274AB" w:rsidRDefault="00001B52" w:rsidP="00001B52">
      <w:pPr>
        <w:numPr>
          <w:ilvl w:val="0"/>
          <w:numId w:val="48"/>
        </w:numPr>
        <w:jc w:val="both"/>
        <w:rPr>
          <w:rFonts w:ascii="Times New Roman" w:hAnsi="Times New Roman" w:cs="Times New Roman"/>
        </w:rPr>
      </w:pPr>
      <w:r w:rsidRPr="001274AB">
        <w:rPr>
          <w:rFonts w:ascii="Times New Roman" w:hAnsi="Times New Roman" w:cs="Times New Roman"/>
        </w:rPr>
        <w:t xml:space="preserve">[ ] </w:t>
      </w:r>
      <w:r w:rsidRPr="001274AB">
        <w:rPr>
          <w:rFonts w:ascii="Times New Roman" w:hAnsi="Times New Roman" w:cs="Times New Roman"/>
          <w:b/>
          <w:bCs/>
        </w:rPr>
        <w:t>IGEN</w:t>
      </w:r>
      <w:r w:rsidRPr="001274AB">
        <w:rPr>
          <w:rFonts w:ascii="Times New Roman" w:hAnsi="Times New Roman" w:cs="Times New Roman"/>
        </w:rPr>
        <w:t xml:space="preserve"> – Szeretném, ha a pénzem fenntartható alapokba kerülne (Kérjük, töltse ki a 2. kérdést is!).</w:t>
      </w:r>
    </w:p>
    <w:p w:rsidR="00001B52" w:rsidRPr="001274AB" w:rsidRDefault="00001B52" w:rsidP="00001B52">
      <w:pPr>
        <w:numPr>
          <w:ilvl w:val="0"/>
          <w:numId w:val="48"/>
        </w:numPr>
        <w:jc w:val="both"/>
        <w:rPr>
          <w:rFonts w:ascii="Times New Roman" w:hAnsi="Times New Roman" w:cs="Times New Roman"/>
        </w:rPr>
      </w:pPr>
      <w:r w:rsidRPr="001274AB">
        <w:rPr>
          <w:rFonts w:ascii="Times New Roman" w:hAnsi="Times New Roman" w:cs="Times New Roman"/>
        </w:rPr>
        <w:t xml:space="preserve">[ ] </w:t>
      </w:r>
      <w:r w:rsidRPr="001274AB">
        <w:rPr>
          <w:rFonts w:ascii="Times New Roman" w:hAnsi="Times New Roman" w:cs="Times New Roman"/>
          <w:b/>
          <w:bCs/>
        </w:rPr>
        <w:t>NEM</w:t>
      </w:r>
      <w:r w:rsidRPr="001274AB">
        <w:rPr>
          <w:rFonts w:ascii="Times New Roman" w:hAnsi="Times New Roman" w:cs="Times New Roman"/>
        </w:rPr>
        <w:t xml:space="preserve"> – Nincs ilyen elvárásom, a választást kizárólag a pénzügyi hozam és kockázat alapján hozom meg.</w:t>
      </w:r>
    </w:p>
    <w:p w:rsidR="00001B52" w:rsidRPr="001274AB" w:rsidRDefault="00001B52" w:rsidP="00001B52">
      <w:pPr>
        <w:jc w:val="both"/>
        <w:rPr>
          <w:rFonts w:ascii="Times New Roman" w:hAnsi="Times New Roman" w:cs="Times New Roman"/>
          <w:b/>
          <w:bCs/>
        </w:rPr>
      </w:pPr>
    </w:p>
    <w:p w:rsidR="00001B52" w:rsidRPr="001274AB" w:rsidRDefault="00001B52" w:rsidP="00001B52">
      <w:pPr>
        <w:jc w:val="both"/>
        <w:rPr>
          <w:rFonts w:ascii="Times New Roman" w:hAnsi="Times New Roman" w:cs="Times New Roman"/>
          <w:b/>
          <w:bCs/>
        </w:rPr>
      </w:pPr>
      <w:r w:rsidRPr="001274AB">
        <w:rPr>
          <w:rFonts w:ascii="Times New Roman" w:hAnsi="Times New Roman" w:cs="Times New Roman"/>
          <w:b/>
          <w:bCs/>
        </w:rPr>
        <w:t>2. Kérdés: Specifikus fenntarthatósági célok (Csak IGEN válasz esetén)</w:t>
      </w:r>
    </w:p>
    <w:p w:rsidR="00001B52" w:rsidRPr="001274AB" w:rsidRDefault="00001B52" w:rsidP="00001B52">
      <w:pPr>
        <w:jc w:val="both"/>
        <w:rPr>
          <w:rFonts w:ascii="Times New Roman" w:hAnsi="Times New Roman" w:cs="Times New Roman"/>
        </w:rPr>
      </w:pPr>
      <w:r w:rsidRPr="001274AB">
        <w:rPr>
          <w:rFonts w:ascii="Times New Roman" w:hAnsi="Times New Roman" w:cs="Times New Roman"/>
        </w:rPr>
        <w:t xml:space="preserve">Milyen típusú fenntartható eszközalapokat részesít előnyben? </w:t>
      </w:r>
      <w:r w:rsidRPr="001274AB">
        <w:rPr>
          <w:rFonts w:ascii="Times New Roman" w:hAnsi="Times New Roman" w:cs="Times New Roman"/>
          <w:i/>
          <w:iCs/>
        </w:rPr>
        <w:t>(Több opció is megjelölhető)</w:t>
      </w:r>
    </w:p>
    <w:p w:rsidR="00001B52" w:rsidRPr="001274AB" w:rsidRDefault="00001B52" w:rsidP="00001B52">
      <w:pPr>
        <w:numPr>
          <w:ilvl w:val="0"/>
          <w:numId w:val="49"/>
        </w:numPr>
        <w:jc w:val="both"/>
        <w:rPr>
          <w:rFonts w:ascii="Times New Roman" w:hAnsi="Times New Roman" w:cs="Times New Roman"/>
        </w:rPr>
      </w:pPr>
      <w:r w:rsidRPr="001274AB">
        <w:rPr>
          <w:rFonts w:ascii="Times New Roman" w:hAnsi="Times New Roman" w:cs="Times New Roman"/>
        </w:rPr>
        <w:t xml:space="preserve">[ ] </w:t>
      </w:r>
      <w:r w:rsidRPr="001274AB">
        <w:rPr>
          <w:rFonts w:ascii="Times New Roman" w:hAnsi="Times New Roman" w:cs="Times New Roman"/>
          <w:b/>
          <w:bCs/>
        </w:rPr>
        <w:t>Környezeti célok (Környezetileg fenntartható alapok):</w:t>
      </w:r>
      <w:r w:rsidRPr="001274AB">
        <w:rPr>
          <w:rFonts w:ascii="Times New Roman" w:hAnsi="Times New Roman" w:cs="Times New Roman"/>
        </w:rPr>
        <w:t xml:space="preserve"> Olyan alapok, amelyek megfelelnek az EU Taxonómia rendelet előírásainak (pl. megújuló energia, tiszta technológiák, környezeti lábnyom csökkentése).</w:t>
      </w:r>
    </w:p>
    <w:p w:rsidR="00001B52" w:rsidRPr="001274AB" w:rsidRDefault="00001B52" w:rsidP="00001B52">
      <w:pPr>
        <w:numPr>
          <w:ilvl w:val="0"/>
          <w:numId w:val="49"/>
        </w:numPr>
        <w:jc w:val="both"/>
        <w:rPr>
          <w:rFonts w:ascii="Times New Roman" w:hAnsi="Times New Roman" w:cs="Times New Roman"/>
        </w:rPr>
      </w:pPr>
      <w:r w:rsidRPr="001274AB">
        <w:rPr>
          <w:rFonts w:ascii="Times New Roman" w:hAnsi="Times New Roman" w:cs="Times New Roman"/>
        </w:rPr>
        <w:t xml:space="preserve">[ ] </w:t>
      </w:r>
      <w:r w:rsidRPr="001274AB">
        <w:rPr>
          <w:rFonts w:ascii="Times New Roman" w:hAnsi="Times New Roman" w:cs="Times New Roman"/>
          <w:b/>
          <w:bCs/>
        </w:rPr>
        <w:t>Társadalmi és irányítási célok (Etikus alapok):</w:t>
      </w:r>
      <w:r w:rsidRPr="001274AB">
        <w:rPr>
          <w:rFonts w:ascii="Times New Roman" w:hAnsi="Times New Roman" w:cs="Times New Roman"/>
        </w:rPr>
        <w:t xml:space="preserve"> Olyan alapok, amelyek a társadalmi egyenlőséget, az emberi jogok tiszteletben tartását, a jó vállalatirányítást és a korrupcióellenességet támogatják.</w:t>
      </w:r>
    </w:p>
    <w:p w:rsidR="00001B52" w:rsidRPr="001274AB" w:rsidRDefault="00001B52" w:rsidP="00001B52">
      <w:pPr>
        <w:numPr>
          <w:ilvl w:val="0"/>
          <w:numId w:val="49"/>
        </w:numPr>
        <w:jc w:val="both"/>
        <w:rPr>
          <w:rFonts w:ascii="Times New Roman" w:hAnsi="Times New Roman" w:cs="Times New Roman"/>
        </w:rPr>
      </w:pPr>
      <w:r w:rsidRPr="001274AB">
        <w:rPr>
          <w:rFonts w:ascii="Times New Roman" w:hAnsi="Times New Roman" w:cs="Times New Roman"/>
        </w:rPr>
        <w:t xml:space="preserve">[ ] </w:t>
      </w:r>
      <w:r w:rsidRPr="001274AB">
        <w:rPr>
          <w:rFonts w:ascii="Times New Roman" w:hAnsi="Times New Roman" w:cs="Times New Roman"/>
          <w:b/>
          <w:bCs/>
        </w:rPr>
        <w:t>Káros hatások kizárása (PAI):</w:t>
      </w:r>
      <w:r w:rsidRPr="001274AB">
        <w:rPr>
          <w:rFonts w:ascii="Times New Roman" w:hAnsi="Times New Roman" w:cs="Times New Roman"/>
        </w:rPr>
        <w:t xml:space="preserve"> Kifejezetten elvárom, hogy a befektetésem ne támogasson olyan iparágakat, amelyek bizonyítottan károsítják a környezetet vagy a társadalmat (pl. fegyvergyártás, dohányipar, szénbányászat).</w:t>
      </w:r>
    </w:p>
    <w:p w:rsidR="00001B52" w:rsidRPr="001274AB" w:rsidRDefault="00001B52" w:rsidP="00001B52">
      <w:pPr>
        <w:jc w:val="both"/>
        <w:rPr>
          <w:rFonts w:ascii="Times New Roman" w:hAnsi="Times New Roman" w:cs="Times New Roman"/>
          <w:b/>
          <w:bCs/>
        </w:rPr>
      </w:pPr>
    </w:p>
    <w:p w:rsidR="00001B52" w:rsidRPr="001274AB" w:rsidRDefault="00001B52" w:rsidP="00001B52">
      <w:pPr>
        <w:jc w:val="both"/>
        <w:rPr>
          <w:rFonts w:ascii="Times New Roman" w:hAnsi="Times New Roman" w:cs="Times New Roman"/>
          <w:b/>
          <w:bCs/>
        </w:rPr>
      </w:pPr>
      <w:r w:rsidRPr="001274AB">
        <w:rPr>
          <w:rFonts w:ascii="Times New Roman" w:hAnsi="Times New Roman" w:cs="Times New Roman"/>
          <w:b/>
          <w:bCs/>
        </w:rPr>
        <w:t>Ügyféli nyilatkozat és tudomásulvétel</w:t>
      </w:r>
    </w:p>
    <w:p w:rsidR="00001B52" w:rsidRPr="001274AB" w:rsidRDefault="00001B52" w:rsidP="00001B52">
      <w:pPr>
        <w:jc w:val="both"/>
        <w:rPr>
          <w:rFonts w:ascii="Times New Roman" w:hAnsi="Times New Roman" w:cs="Times New Roman"/>
        </w:rPr>
      </w:pPr>
      <w:r w:rsidRPr="001274AB">
        <w:rPr>
          <w:rFonts w:ascii="Times New Roman" w:hAnsi="Times New Roman" w:cs="Times New Roman"/>
        </w:rPr>
        <w:t>Alulírott ügyfél kijelentem, hogy a fenti nyilatkozatot a biztosításközvetítő részletes, szerződéskötés előtti tájékoztatását követően tettem meg. Tudomásul veszem, hogy amennyiben nem jelöltem meg fenntarthatósági preferenciát, vagy a piacon nincs a specifikus igényeimnek megfelelő zöld termék, úgy a közvetítő jogosult hagyományos („szürke”, az SFDR 6. cikkelye szerinti) terméket ajánlani számomra.</w:t>
      </w:r>
    </w:p>
    <w:p w:rsidR="00001B52" w:rsidRPr="001274AB" w:rsidRDefault="00001B52" w:rsidP="00001B52">
      <w:pPr>
        <w:jc w:val="both"/>
        <w:rPr>
          <w:rFonts w:ascii="Times New Roman" w:hAnsi="Times New Roman" w:cs="Times New Roman"/>
        </w:rPr>
      </w:pPr>
      <w:r w:rsidRPr="001274AB">
        <w:rPr>
          <w:rFonts w:ascii="Times New Roman" w:hAnsi="Times New Roman" w:cs="Times New Roman"/>
        </w:rPr>
        <w:t>Kelt: ................................., 2026. ........................ hó ............ napján.</w:t>
      </w:r>
    </w:p>
    <w:p w:rsidR="00001B52" w:rsidRPr="001274AB" w:rsidRDefault="00001B52" w:rsidP="00001B52">
      <w:pPr>
        <w:jc w:val="both"/>
        <w:rPr>
          <w:rFonts w:ascii="Times New Roman" w:hAnsi="Times New Roman" w:cs="Times New Roman"/>
        </w:rPr>
      </w:pPr>
    </w:p>
    <w:p w:rsidR="00001B52" w:rsidRPr="001274AB" w:rsidRDefault="00001B52" w:rsidP="00001B52">
      <w:pPr>
        <w:jc w:val="both"/>
        <w:rPr>
          <w:rFonts w:ascii="Times New Roman" w:hAnsi="Times New Roman" w:cs="Times New Roman"/>
        </w:rPr>
      </w:pPr>
    </w:p>
    <w:p w:rsidR="00001B52" w:rsidRPr="001274AB" w:rsidRDefault="00001B52" w:rsidP="00001B52">
      <w:pPr>
        <w:jc w:val="both"/>
        <w:rPr>
          <w:rFonts w:ascii="Times New Roman" w:hAnsi="Times New Roman" w:cs="Times New Roman"/>
        </w:rPr>
      </w:pPr>
      <w:r w:rsidRPr="001274AB">
        <w:rPr>
          <w:rFonts w:ascii="Times New Roman" w:hAnsi="Times New Roman" w:cs="Times New Roman"/>
        </w:rPr>
        <w:t xml:space="preserve">...................................................... </w:t>
      </w:r>
    </w:p>
    <w:p w:rsidR="00001B52" w:rsidRPr="001274AB" w:rsidRDefault="00001B52" w:rsidP="00001B52">
      <w:pPr>
        <w:ind w:firstLine="708"/>
        <w:jc w:val="both"/>
        <w:rPr>
          <w:rFonts w:ascii="Times New Roman" w:hAnsi="Times New Roman" w:cs="Times New Roman"/>
        </w:rPr>
      </w:pPr>
      <w:r w:rsidRPr="001274AB">
        <w:rPr>
          <w:rFonts w:ascii="Times New Roman" w:hAnsi="Times New Roman" w:cs="Times New Roman"/>
          <w:b/>
          <w:bCs/>
        </w:rPr>
        <w:t>Ügyfél aláírása</w:t>
      </w:r>
    </w:p>
    <w:p w:rsidR="00001B52" w:rsidRPr="001274AB" w:rsidRDefault="00001B52" w:rsidP="00DA11B8">
      <w:pPr>
        <w:jc w:val="both"/>
        <w:rPr>
          <w:rFonts w:ascii="Times New Roman" w:hAnsi="Times New Roman" w:cs="Times New Roman"/>
        </w:rPr>
      </w:pPr>
    </w:p>
    <w:p w:rsidR="00001B52" w:rsidRPr="001274AB" w:rsidRDefault="00001B52" w:rsidP="00DA11B8">
      <w:pPr>
        <w:jc w:val="both"/>
        <w:rPr>
          <w:rFonts w:ascii="Times New Roman" w:hAnsi="Times New Roman" w:cs="Times New Roman"/>
        </w:rPr>
      </w:pPr>
    </w:p>
    <w:p w:rsidR="00001B52" w:rsidRPr="001274AB" w:rsidRDefault="00001B52" w:rsidP="00DA11B8">
      <w:pPr>
        <w:jc w:val="both"/>
        <w:rPr>
          <w:rFonts w:ascii="Times New Roman" w:hAnsi="Times New Roman" w:cs="Times New Roman"/>
        </w:rPr>
      </w:pPr>
    </w:p>
    <w:p w:rsidR="00001B52" w:rsidRPr="001274AB" w:rsidRDefault="00001B52" w:rsidP="00DA11B8">
      <w:pPr>
        <w:jc w:val="both"/>
        <w:rPr>
          <w:rFonts w:ascii="Times New Roman" w:hAnsi="Times New Roman" w:cs="Times New Roman"/>
        </w:rPr>
      </w:pPr>
    </w:p>
    <w:p w:rsidR="00001B52" w:rsidRPr="001274AB" w:rsidRDefault="00001B52" w:rsidP="00DA11B8">
      <w:pPr>
        <w:jc w:val="both"/>
        <w:rPr>
          <w:rFonts w:ascii="Times New Roman" w:hAnsi="Times New Roman" w:cs="Times New Roman"/>
        </w:rPr>
      </w:pPr>
    </w:p>
    <w:p w:rsidR="00001B52" w:rsidRPr="001274AB" w:rsidRDefault="00001B52" w:rsidP="00DA11B8">
      <w:pPr>
        <w:jc w:val="both"/>
        <w:rPr>
          <w:rFonts w:ascii="Times New Roman" w:hAnsi="Times New Roman" w:cs="Times New Roman"/>
        </w:rPr>
      </w:pPr>
    </w:p>
    <w:p w:rsidR="00001B52" w:rsidRPr="001274AB" w:rsidRDefault="00001B52" w:rsidP="00DA11B8">
      <w:pPr>
        <w:jc w:val="both"/>
        <w:rPr>
          <w:rFonts w:ascii="Times New Roman" w:hAnsi="Times New Roman" w:cs="Times New Roman"/>
        </w:rPr>
      </w:pPr>
    </w:p>
    <w:p w:rsidR="00001B52" w:rsidRPr="001274AB" w:rsidRDefault="008A0161" w:rsidP="008A0161">
      <w:pPr>
        <w:pStyle w:val="Cmsor1"/>
        <w:rPr>
          <w:rFonts w:ascii="Times New Roman" w:hAnsi="Times New Roman" w:cs="Times New Roman"/>
          <w:sz w:val="22"/>
          <w:szCs w:val="22"/>
        </w:rPr>
      </w:pPr>
      <w:bookmarkStart w:id="20" w:name="_Toc231908645"/>
      <w:r w:rsidRPr="001274AB">
        <w:rPr>
          <w:rFonts w:ascii="Times New Roman" w:hAnsi="Times New Roman" w:cs="Times New Roman"/>
          <w:sz w:val="22"/>
          <w:szCs w:val="22"/>
        </w:rPr>
        <w:lastRenderedPageBreak/>
        <w:t>3. számú melléklet</w:t>
      </w:r>
      <w:bookmarkEnd w:id="20"/>
    </w:p>
    <w:p w:rsidR="008A0161" w:rsidRPr="001274AB" w:rsidRDefault="008A0161" w:rsidP="00DA11B8">
      <w:pPr>
        <w:jc w:val="both"/>
        <w:rPr>
          <w:rFonts w:ascii="Times New Roman" w:hAnsi="Times New Roman" w:cs="Times New Roman"/>
        </w:rPr>
      </w:pPr>
    </w:p>
    <w:p w:rsidR="008A0161" w:rsidRPr="001274AB" w:rsidRDefault="008A0161" w:rsidP="008A0161">
      <w:pPr>
        <w:jc w:val="center"/>
        <w:rPr>
          <w:rFonts w:ascii="Times New Roman" w:hAnsi="Times New Roman" w:cs="Times New Roman"/>
          <w:b/>
          <w:bCs/>
        </w:rPr>
      </w:pPr>
      <w:r w:rsidRPr="001274AB">
        <w:rPr>
          <w:rFonts w:ascii="Times New Roman" w:hAnsi="Times New Roman" w:cs="Times New Roman"/>
          <w:b/>
          <w:bCs/>
        </w:rPr>
        <w:t>ELŐZETES ÜGYFÉLTÁJÉKOZTATÓ A FENNTARTHATÓSÁGI KOCKÁZATOKRÓL</w:t>
      </w:r>
    </w:p>
    <w:p w:rsidR="008A0161" w:rsidRPr="001274AB" w:rsidRDefault="008A0161" w:rsidP="008A0161">
      <w:pPr>
        <w:jc w:val="center"/>
        <w:rPr>
          <w:rFonts w:ascii="Times New Roman" w:hAnsi="Times New Roman" w:cs="Times New Roman"/>
          <w:b/>
          <w:bCs/>
        </w:rPr>
      </w:pPr>
    </w:p>
    <w:p w:rsidR="008A0161" w:rsidRPr="001274AB" w:rsidRDefault="008A0161" w:rsidP="008A0161">
      <w:pPr>
        <w:jc w:val="both"/>
        <w:rPr>
          <w:rFonts w:ascii="Times New Roman" w:hAnsi="Times New Roman" w:cs="Times New Roman"/>
          <w:b/>
          <w:bCs/>
        </w:rPr>
      </w:pPr>
      <w:r w:rsidRPr="001274AB">
        <w:rPr>
          <w:rFonts w:ascii="Times New Roman" w:hAnsi="Times New Roman" w:cs="Times New Roman"/>
          <w:b/>
          <w:bCs/>
        </w:rPr>
        <w:t>1. Mi az a fenntarthatósági kockázat?</w:t>
      </w:r>
    </w:p>
    <w:p w:rsidR="008A0161" w:rsidRPr="001274AB" w:rsidRDefault="008A0161" w:rsidP="008A0161">
      <w:pPr>
        <w:jc w:val="both"/>
        <w:rPr>
          <w:rFonts w:ascii="Times New Roman" w:hAnsi="Times New Roman" w:cs="Times New Roman"/>
        </w:rPr>
      </w:pPr>
      <w:r w:rsidRPr="001274AB">
        <w:rPr>
          <w:rFonts w:ascii="Times New Roman" w:hAnsi="Times New Roman" w:cs="Times New Roman"/>
        </w:rPr>
        <w:t>A fenntarthatósági kockázat olyan környezeti, társadalmi vagy vállalatirányítási (ESG) esemény vagy körülmény, amelynek bekövetkezése tényleges vagy potenciális lényeges negatív hatást gyakorolhat az Ön biztosítási szerződésében lévő befektetések értékére és hozamára.</w:t>
      </w:r>
    </w:p>
    <w:p w:rsidR="008A0161" w:rsidRPr="001274AB" w:rsidRDefault="008A0161" w:rsidP="008A0161">
      <w:pPr>
        <w:jc w:val="both"/>
        <w:rPr>
          <w:rFonts w:ascii="Times New Roman" w:hAnsi="Times New Roman" w:cs="Times New Roman"/>
          <w:b/>
          <w:bCs/>
        </w:rPr>
      </w:pPr>
    </w:p>
    <w:p w:rsidR="008A0161" w:rsidRPr="001274AB" w:rsidRDefault="008A0161" w:rsidP="008A0161">
      <w:pPr>
        <w:jc w:val="both"/>
        <w:rPr>
          <w:rFonts w:ascii="Times New Roman" w:hAnsi="Times New Roman" w:cs="Times New Roman"/>
          <w:b/>
          <w:bCs/>
        </w:rPr>
      </w:pPr>
      <w:r w:rsidRPr="001274AB">
        <w:rPr>
          <w:rFonts w:ascii="Times New Roman" w:hAnsi="Times New Roman" w:cs="Times New Roman"/>
          <w:b/>
          <w:bCs/>
        </w:rPr>
        <w:t>2. A kockázatok típusai és példái</w:t>
      </w:r>
    </w:p>
    <w:p w:rsidR="008A0161" w:rsidRPr="001274AB" w:rsidRDefault="008A0161" w:rsidP="008A0161">
      <w:pPr>
        <w:jc w:val="both"/>
        <w:rPr>
          <w:rFonts w:ascii="Times New Roman" w:hAnsi="Times New Roman" w:cs="Times New Roman"/>
        </w:rPr>
      </w:pPr>
      <w:r w:rsidRPr="001274AB">
        <w:rPr>
          <w:rFonts w:ascii="Times New Roman" w:hAnsi="Times New Roman" w:cs="Times New Roman"/>
        </w:rPr>
        <w:t>A megtakarítási és életbiztosítási termékek kiválasztásakor az alábbi kockázati tényezőkkel kell számolni:</w:t>
      </w:r>
    </w:p>
    <w:p w:rsidR="008A0161" w:rsidRPr="001274AB" w:rsidRDefault="008A0161" w:rsidP="008A0161">
      <w:pPr>
        <w:numPr>
          <w:ilvl w:val="0"/>
          <w:numId w:val="50"/>
        </w:numPr>
        <w:jc w:val="both"/>
        <w:rPr>
          <w:rFonts w:ascii="Times New Roman" w:hAnsi="Times New Roman" w:cs="Times New Roman"/>
        </w:rPr>
      </w:pPr>
      <w:r w:rsidRPr="001274AB">
        <w:rPr>
          <w:rFonts w:ascii="Times New Roman" w:hAnsi="Times New Roman" w:cs="Times New Roman"/>
          <w:b/>
          <w:bCs/>
        </w:rPr>
        <w:t>Környezeti (E - Environmental) kockázatok:</w:t>
      </w:r>
    </w:p>
    <w:p w:rsidR="008A0161" w:rsidRPr="001274AB" w:rsidRDefault="008A0161" w:rsidP="008A0161">
      <w:pPr>
        <w:numPr>
          <w:ilvl w:val="1"/>
          <w:numId w:val="50"/>
        </w:numPr>
        <w:jc w:val="both"/>
        <w:rPr>
          <w:rFonts w:ascii="Times New Roman" w:hAnsi="Times New Roman" w:cs="Times New Roman"/>
        </w:rPr>
      </w:pPr>
      <w:r w:rsidRPr="001274AB">
        <w:rPr>
          <w:rFonts w:ascii="Times New Roman" w:hAnsi="Times New Roman" w:cs="Times New Roman"/>
          <w:i/>
          <w:iCs/>
        </w:rPr>
        <w:t>Fizikai kockázatok:</w:t>
      </w:r>
      <w:r w:rsidRPr="001274AB">
        <w:rPr>
          <w:rFonts w:ascii="Times New Roman" w:hAnsi="Times New Roman" w:cs="Times New Roman"/>
        </w:rPr>
        <w:t xml:space="preserve"> A klímaváltozás okozta extrém időjárási események (pl. árvizek, aszályok, erdőtüzek) közvetlenül károsíthatják a vállalatok fizikai eszközeit, gyárait, gyengítve a belőlük álló alapok teljesítményét.</w:t>
      </w:r>
    </w:p>
    <w:p w:rsidR="008A0161" w:rsidRPr="001274AB" w:rsidRDefault="008A0161" w:rsidP="008A0161">
      <w:pPr>
        <w:numPr>
          <w:ilvl w:val="1"/>
          <w:numId w:val="50"/>
        </w:numPr>
        <w:jc w:val="both"/>
        <w:rPr>
          <w:rFonts w:ascii="Times New Roman" w:hAnsi="Times New Roman" w:cs="Times New Roman"/>
        </w:rPr>
      </w:pPr>
      <w:r w:rsidRPr="001274AB">
        <w:rPr>
          <w:rFonts w:ascii="Times New Roman" w:hAnsi="Times New Roman" w:cs="Times New Roman"/>
          <w:i/>
          <w:iCs/>
        </w:rPr>
        <w:t>Átállási kockázatok:</w:t>
      </w:r>
      <w:r w:rsidRPr="001274AB">
        <w:rPr>
          <w:rFonts w:ascii="Times New Roman" w:hAnsi="Times New Roman" w:cs="Times New Roman"/>
        </w:rPr>
        <w:t xml:space="preserve"> A szén-dioxid-kibocsátás szigorodó szabályozása, a környezetvédelmi adók vagy a fosszilis tüzelőanyagok kivezetése miatt a környezetszennyező iparágak (pl. hagyományos autóipar, energetika) cégei gyorsan veszíthetnek értékükből.</w:t>
      </w:r>
    </w:p>
    <w:p w:rsidR="008A0161" w:rsidRPr="001274AB" w:rsidRDefault="008A0161" w:rsidP="008A0161">
      <w:pPr>
        <w:numPr>
          <w:ilvl w:val="0"/>
          <w:numId w:val="50"/>
        </w:numPr>
        <w:jc w:val="both"/>
        <w:rPr>
          <w:rFonts w:ascii="Times New Roman" w:hAnsi="Times New Roman" w:cs="Times New Roman"/>
        </w:rPr>
      </w:pPr>
      <w:r w:rsidRPr="001274AB">
        <w:rPr>
          <w:rFonts w:ascii="Times New Roman" w:hAnsi="Times New Roman" w:cs="Times New Roman"/>
          <w:b/>
          <w:bCs/>
        </w:rPr>
        <w:t>Társadalmi (S - Social) kockázatok:</w:t>
      </w:r>
      <w:r w:rsidRPr="001274AB">
        <w:rPr>
          <w:rFonts w:ascii="Times New Roman" w:hAnsi="Times New Roman" w:cs="Times New Roman"/>
        </w:rPr>
        <w:t xml:space="preserve"> Olyan események, amelyek a munkajogok megsértéséből, a nem megfelelő munkahelyi biztonságból, vagy a termékbiztonsági botrányokból erednek. Az érintett vállalatok komoly bírságokkal és reputációvesztéssel nézhetnek szembe, ami csökkenti a részvényeik értékét.</w:t>
      </w:r>
    </w:p>
    <w:p w:rsidR="008A0161" w:rsidRPr="001274AB" w:rsidRDefault="008A0161" w:rsidP="008A0161">
      <w:pPr>
        <w:numPr>
          <w:ilvl w:val="0"/>
          <w:numId w:val="50"/>
        </w:numPr>
        <w:jc w:val="both"/>
        <w:rPr>
          <w:rFonts w:ascii="Times New Roman" w:hAnsi="Times New Roman" w:cs="Times New Roman"/>
        </w:rPr>
      </w:pPr>
      <w:r w:rsidRPr="001274AB">
        <w:rPr>
          <w:rFonts w:ascii="Times New Roman" w:hAnsi="Times New Roman" w:cs="Times New Roman"/>
          <w:b/>
          <w:bCs/>
        </w:rPr>
        <w:t>Vállalatirányítási (G - Governance) kockázatok:</w:t>
      </w:r>
      <w:r w:rsidRPr="001274AB">
        <w:rPr>
          <w:rFonts w:ascii="Times New Roman" w:hAnsi="Times New Roman" w:cs="Times New Roman"/>
        </w:rPr>
        <w:t xml:space="preserve"> A vállalatok belső vezetési hibái, úgymint a menedzsment vesztegetési ügyei, adócsalások, vagy a részvényesi jogok csorbítása. Ezek a hiányosságok gyakran vezetnek hirtelen árfolyamzuhanáshoz.</w:t>
      </w:r>
    </w:p>
    <w:p w:rsidR="008A0161" w:rsidRPr="001274AB" w:rsidRDefault="008A0161" w:rsidP="008A0161">
      <w:pPr>
        <w:jc w:val="both"/>
        <w:rPr>
          <w:rFonts w:ascii="Times New Roman" w:hAnsi="Times New Roman" w:cs="Times New Roman"/>
          <w:b/>
          <w:bCs/>
        </w:rPr>
      </w:pPr>
    </w:p>
    <w:p w:rsidR="008A0161" w:rsidRPr="001274AB" w:rsidRDefault="008A0161" w:rsidP="008A0161">
      <w:pPr>
        <w:jc w:val="both"/>
        <w:rPr>
          <w:rFonts w:ascii="Times New Roman" w:hAnsi="Times New Roman" w:cs="Times New Roman"/>
          <w:b/>
          <w:bCs/>
        </w:rPr>
      </w:pPr>
      <w:r w:rsidRPr="001274AB">
        <w:rPr>
          <w:rFonts w:ascii="Times New Roman" w:hAnsi="Times New Roman" w:cs="Times New Roman"/>
          <w:b/>
          <w:bCs/>
        </w:rPr>
        <w:t>3. A kockázatok hatása a hozamra</w:t>
      </w:r>
    </w:p>
    <w:p w:rsidR="008A0161" w:rsidRPr="001274AB" w:rsidRDefault="008A0161" w:rsidP="008A0161">
      <w:pPr>
        <w:jc w:val="both"/>
        <w:rPr>
          <w:rFonts w:ascii="Times New Roman" w:hAnsi="Times New Roman" w:cs="Times New Roman"/>
        </w:rPr>
      </w:pPr>
      <w:r w:rsidRPr="001274AB">
        <w:rPr>
          <w:rFonts w:ascii="Times New Roman" w:hAnsi="Times New Roman" w:cs="Times New Roman"/>
        </w:rPr>
        <w:t>A fenntarthatósági kockázatok anyagi veszteséget okozhatnak a mögöttes alapokban. Az SFDR 6. cikkelye szerinti („szürke”) alapok általában magasabb kitettséggel rendelkeznek ezen kockázatok irányába. Ezzel szemben a 8-as („világoszöld”) és 9-es („sötétzöld”) cikkely szerinti alapok aktívan szűrik és kezelik ezeket a kockázatokat, ami hosszú távon kiszámíthatóbb, stabilabb teljesítményt eredményezhet, jóllehet bizonyos szektorok kizárása miatt a diverzifikáció (a kockázat megosztása) szűkebb lehet.</w:t>
      </w:r>
    </w:p>
    <w:p w:rsidR="008A0161" w:rsidRPr="001274AB" w:rsidRDefault="008A0161" w:rsidP="008A0161">
      <w:pPr>
        <w:jc w:val="both"/>
        <w:rPr>
          <w:rFonts w:ascii="Times New Roman" w:hAnsi="Times New Roman" w:cs="Times New Roman"/>
          <w:b/>
          <w:bCs/>
        </w:rPr>
      </w:pPr>
    </w:p>
    <w:p w:rsidR="008A0161" w:rsidRPr="001274AB" w:rsidRDefault="008A0161" w:rsidP="008A0161">
      <w:pPr>
        <w:jc w:val="both"/>
        <w:rPr>
          <w:rFonts w:ascii="Times New Roman" w:hAnsi="Times New Roman" w:cs="Times New Roman"/>
          <w:b/>
          <w:bCs/>
        </w:rPr>
      </w:pPr>
      <w:r w:rsidRPr="001274AB">
        <w:rPr>
          <w:rFonts w:ascii="Times New Roman" w:hAnsi="Times New Roman" w:cs="Times New Roman"/>
          <w:b/>
          <w:bCs/>
        </w:rPr>
        <w:t>4. A közvetítő felelősségének korlátozása</w:t>
      </w:r>
    </w:p>
    <w:p w:rsidR="008A0161" w:rsidRPr="001274AB" w:rsidRDefault="008A0161" w:rsidP="008A0161">
      <w:pPr>
        <w:jc w:val="both"/>
        <w:rPr>
          <w:rFonts w:ascii="Times New Roman" w:hAnsi="Times New Roman" w:cs="Times New Roman"/>
        </w:rPr>
      </w:pPr>
      <w:r w:rsidRPr="001274AB">
        <w:rPr>
          <w:rFonts w:ascii="Times New Roman" w:hAnsi="Times New Roman" w:cs="Times New Roman"/>
        </w:rPr>
        <w:t>A [</w:t>
      </w:r>
      <w:r w:rsidR="001274AB" w:rsidRPr="001274AB">
        <w:rPr>
          <w:rFonts w:ascii="Times New Roman" w:hAnsi="Times New Roman" w:cs="Times New Roman"/>
        </w:rPr>
        <w:t xml:space="preserve">                            </w:t>
      </w:r>
      <w:r w:rsidRPr="001274AB">
        <w:rPr>
          <w:rFonts w:ascii="Times New Roman" w:hAnsi="Times New Roman" w:cs="Times New Roman"/>
        </w:rPr>
        <w:t>] mint független biztosításközvetítő a fenntarthatósági jellemzőkről és kockázatokról a terméket előállító biztosítótársaságok hivatalos adatszolgáltatása (KID, pre-kontraktuális tájékoztatók) alapján nyújt tájékoztatást. A biztosítók adatszolgáltatásának valódiságáért és a mögöttes alapok tényleges piaci teljesítményéért a közvetítő felelősséget nem vállal. A végső befektetési döntést a kockázatok mérlegelésével az ügyfél hozza meg.</w:t>
      </w:r>
    </w:p>
    <w:p w:rsidR="008A0161" w:rsidRPr="001274AB" w:rsidRDefault="008A0161" w:rsidP="00DA11B8">
      <w:pPr>
        <w:jc w:val="both"/>
        <w:rPr>
          <w:rFonts w:ascii="Times New Roman" w:hAnsi="Times New Roman" w:cs="Times New Roman"/>
        </w:rPr>
      </w:pPr>
    </w:p>
    <w:sectPr w:rsidR="008A0161" w:rsidRPr="001274AB" w:rsidSect="00B278FE">
      <w:headerReference w:type="even" r:id="rId10"/>
      <w:headerReference w:type="default" r:id="rId11"/>
      <w:footerReference w:type="default" r:id="rId12"/>
      <w:pgSz w:w="11906" w:h="16838"/>
      <w:pgMar w:top="1417" w:right="1417" w:bottom="1417" w:left="1417" w:header="708" w:footer="708" w:gutter="0"/>
      <w:pgBorders w:offsetFrom="page">
        <w:bottom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176" w:rsidRDefault="00B36176" w:rsidP="00E25B90">
      <w:r>
        <w:separator/>
      </w:r>
    </w:p>
  </w:endnote>
  <w:endnote w:type="continuationSeparator" w:id="0">
    <w:p w:rsidR="00B36176" w:rsidRDefault="00B36176" w:rsidP="00E25B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2"/>
    <w:family w:val="auto"/>
    <w:pitch w:val="default"/>
    <w:sig w:usb0="00000000" w:usb1="00000000" w:usb2="00000000" w:usb3="00000000" w:csb0="0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sans-serif">
    <w:altName w:val="Arial"/>
    <w:charset w:val="01"/>
    <w:family w:val="auto"/>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A5E" w:rsidRDefault="006A0A5E" w:rsidP="006A0A5E">
    <w:pPr>
      <w:pStyle w:val="lfej"/>
      <w:jc w:val="center"/>
      <w:rPr>
        <w:sz w:val="18"/>
        <w:szCs w:val="18"/>
      </w:rPr>
    </w:pPr>
    <w:r w:rsidRPr="0090236D">
      <w:rPr>
        <w:sz w:val="18"/>
        <w:szCs w:val="18"/>
      </w:rPr>
      <w:t>Cégjegyzékszám: 11-09-011097/6 Adószám: 13575845-1-11</w:t>
    </w:r>
  </w:p>
  <w:p w:rsidR="00D07AFE" w:rsidRPr="0090236D" w:rsidRDefault="00D07AFE" w:rsidP="006A0A5E">
    <w:pPr>
      <w:pStyle w:val="lfej"/>
      <w:jc w:val="center"/>
      <w:rPr>
        <w:sz w:val="18"/>
        <w:szCs w:val="18"/>
      </w:rPr>
    </w:pPr>
    <w:r>
      <w:rPr>
        <w:sz w:val="18"/>
        <w:szCs w:val="18"/>
      </w:rPr>
      <w:t>GranBróker</w:t>
    </w:r>
    <w:r w:rsidR="008E4A20">
      <w:rPr>
        <w:sz w:val="18"/>
        <w:szCs w:val="18"/>
      </w:rPr>
      <w:t xml:space="preserve"> Kft. 2024. Minden jog fenntartva.</w:t>
    </w:r>
  </w:p>
  <w:p w:rsidR="006A0A5E" w:rsidRDefault="006A0A5E">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176" w:rsidRDefault="00B36176" w:rsidP="00E25B90">
      <w:r>
        <w:separator/>
      </w:r>
    </w:p>
  </w:footnote>
  <w:footnote w:type="continuationSeparator" w:id="0">
    <w:p w:rsidR="00B36176" w:rsidRDefault="00B36176" w:rsidP="00E25B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Oldalszm"/>
      </w:rPr>
      <w:id w:val="-608665882"/>
      <w:docPartObj>
        <w:docPartGallery w:val="Page Numbers (Top of Page)"/>
        <w:docPartUnique/>
      </w:docPartObj>
    </w:sdtPr>
    <w:sdtContent>
      <w:p w:rsidR="00B278FE" w:rsidRDefault="007B6095" w:rsidP="00FE4751">
        <w:pPr>
          <w:pStyle w:val="lfej"/>
          <w:framePr w:wrap="none" w:vAnchor="text" w:hAnchor="margin" w:xAlign="right" w:y="1"/>
          <w:rPr>
            <w:rStyle w:val="Oldalszm"/>
          </w:rPr>
        </w:pPr>
        <w:r>
          <w:rPr>
            <w:rStyle w:val="Oldalszm"/>
          </w:rPr>
          <w:fldChar w:fldCharType="begin"/>
        </w:r>
        <w:r w:rsidR="00B278FE">
          <w:rPr>
            <w:rStyle w:val="Oldalszm"/>
          </w:rPr>
          <w:instrText xml:space="preserve"> PAGE </w:instrText>
        </w:r>
        <w:r>
          <w:rPr>
            <w:rStyle w:val="Oldalszm"/>
          </w:rPr>
          <w:fldChar w:fldCharType="end"/>
        </w:r>
      </w:p>
    </w:sdtContent>
  </w:sdt>
  <w:sdt>
    <w:sdtPr>
      <w:rPr>
        <w:rStyle w:val="Oldalszm"/>
      </w:rPr>
      <w:id w:val="-156297593"/>
      <w:docPartObj>
        <w:docPartGallery w:val="Page Numbers (Top of Page)"/>
        <w:docPartUnique/>
      </w:docPartObj>
    </w:sdtPr>
    <w:sdtContent>
      <w:p w:rsidR="00BB51D2" w:rsidRDefault="007B6095" w:rsidP="00B278FE">
        <w:pPr>
          <w:pStyle w:val="lfej"/>
          <w:framePr w:wrap="none" w:vAnchor="text" w:hAnchor="margin" w:xAlign="right" w:y="1"/>
          <w:ind w:right="360"/>
          <w:rPr>
            <w:rStyle w:val="Oldalszm"/>
          </w:rPr>
        </w:pPr>
        <w:r>
          <w:rPr>
            <w:rStyle w:val="Oldalszm"/>
          </w:rPr>
          <w:fldChar w:fldCharType="begin"/>
        </w:r>
        <w:r w:rsidR="00BB51D2">
          <w:rPr>
            <w:rStyle w:val="Oldalszm"/>
          </w:rPr>
          <w:instrText xml:space="preserve"> PAGE </w:instrText>
        </w:r>
        <w:r>
          <w:rPr>
            <w:rStyle w:val="Oldalszm"/>
          </w:rPr>
          <w:fldChar w:fldCharType="end"/>
        </w:r>
      </w:p>
    </w:sdtContent>
  </w:sdt>
  <w:p w:rsidR="00BB51D2" w:rsidRDefault="00BB51D2" w:rsidP="00BB51D2">
    <w:pPr>
      <w:pStyle w:val="lfej"/>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Oldalszm"/>
      </w:rPr>
      <w:id w:val="563066399"/>
      <w:docPartObj>
        <w:docPartGallery w:val="Page Numbers (Top of Page)"/>
        <w:docPartUnique/>
      </w:docPartObj>
    </w:sdtPr>
    <w:sdtContent>
      <w:p w:rsidR="00B278FE" w:rsidRDefault="007B6095" w:rsidP="00FE4751">
        <w:pPr>
          <w:pStyle w:val="lfej"/>
          <w:framePr w:wrap="none" w:vAnchor="text" w:hAnchor="margin" w:xAlign="right" w:y="1"/>
          <w:rPr>
            <w:rStyle w:val="Oldalszm"/>
          </w:rPr>
        </w:pPr>
        <w:r>
          <w:rPr>
            <w:rStyle w:val="Oldalszm"/>
          </w:rPr>
          <w:fldChar w:fldCharType="begin"/>
        </w:r>
        <w:r w:rsidR="00B278FE">
          <w:rPr>
            <w:rStyle w:val="Oldalszm"/>
          </w:rPr>
          <w:instrText xml:space="preserve"> PAGE </w:instrText>
        </w:r>
        <w:r>
          <w:rPr>
            <w:rStyle w:val="Oldalszm"/>
          </w:rPr>
          <w:fldChar w:fldCharType="separate"/>
        </w:r>
        <w:r w:rsidR="002E3856">
          <w:rPr>
            <w:rStyle w:val="Oldalszm"/>
            <w:noProof/>
          </w:rPr>
          <w:t>9</w:t>
        </w:r>
        <w:r>
          <w:rPr>
            <w:rStyle w:val="Oldalszm"/>
          </w:rPr>
          <w:fldChar w:fldCharType="end"/>
        </w:r>
      </w:p>
    </w:sdtContent>
  </w:sdt>
  <w:p w:rsidR="009F258C" w:rsidRPr="00B278FE" w:rsidRDefault="009F258C" w:rsidP="00B278FE">
    <w:pPr>
      <w:pStyle w:val="lfej"/>
      <w:pBdr>
        <w:bottom w:val="single" w:sz="4" w:space="1" w:color="auto"/>
      </w:pBdr>
      <w:ind w:right="360"/>
      <w:rPr>
        <w:sz w:val="28"/>
        <w:szCs w:val="28"/>
      </w:rPr>
    </w:pPr>
    <w:r>
      <w:rPr>
        <w:noProof/>
        <w:lang w:eastAsia="hu-HU"/>
      </w:rPr>
      <w:drawing>
        <wp:anchor distT="0" distB="0" distL="114300" distR="114300" simplePos="0" relativeHeight="251659264" behindDoc="1" locked="0" layoutInCell="1" allowOverlap="1">
          <wp:simplePos x="0" y="0"/>
          <wp:positionH relativeFrom="column">
            <wp:posOffset>-892895</wp:posOffset>
          </wp:positionH>
          <wp:positionV relativeFrom="paragraph">
            <wp:posOffset>-440561</wp:posOffset>
          </wp:positionV>
          <wp:extent cx="1531917" cy="611956"/>
          <wp:effectExtent l="0" t="0" r="0" b="0"/>
          <wp:wrapNone/>
          <wp:docPr id="1256260981" name="Kép 1" descr="A képen Betűtípus, szimbólum,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54564" name="Kép 1" descr="A képen Betűtípus, szimbólum, Grafika, embléma látható&#10;&#10;Automatikusan generált leírás"/>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31917" cy="611956"/>
                  </a:xfrm>
                  <a:prstGeom prst="rect">
                    <a:avLst/>
                  </a:prstGeom>
                </pic:spPr>
              </pic:pic>
            </a:graphicData>
          </a:graphic>
        </wp:anchor>
      </w:drawing>
    </w:r>
    <w:r w:rsidR="00B278FE">
      <w:tab/>
    </w:r>
    <w:r w:rsidR="0041202A">
      <w:rPr>
        <w:sz w:val="28"/>
        <w:szCs w:val="28"/>
      </w:rPr>
      <w:t>Eljárási rend SFDR rendelet végrehajtásáról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283"/>
      </w:pPr>
      <w:rPr>
        <w:rFonts w:ascii="Symbol" w:hAnsi="Symbol" w:cs="OpenSymbol"/>
        <w:color w:val="00000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3"/>
    <w:lvl w:ilvl="0">
      <w:start w:val="1"/>
      <w:numFmt w:val="bullet"/>
      <w:lvlText w:val=""/>
      <w:lvlJc w:val="left"/>
      <w:pPr>
        <w:tabs>
          <w:tab w:val="num" w:pos="720"/>
        </w:tabs>
        <w:ind w:left="720" w:hanging="283"/>
      </w:pPr>
      <w:rPr>
        <w:rFonts w:ascii="Symbol" w:hAnsi="Symbol" w:cs="OpenSymbol"/>
        <w:color w:val="00000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bullet"/>
      <w:lvlText w:val=""/>
      <w:lvlJc w:val="left"/>
      <w:pPr>
        <w:tabs>
          <w:tab w:val="num" w:pos="720"/>
        </w:tabs>
        <w:ind w:left="720" w:hanging="283"/>
      </w:pPr>
      <w:rPr>
        <w:rFonts w:ascii="Symbol" w:hAnsi="Symbol" w:cs="OpenSymbol"/>
        <w:color w:val="00000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
      <w:numFmt w:val="bullet"/>
      <w:lvlText w:val=""/>
      <w:lvlJc w:val="left"/>
      <w:pPr>
        <w:tabs>
          <w:tab w:val="num" w:pos="720"/>
        </w:tabs>
        <w:ind w:left="720" w:hanging="283"/>
      </w:pPr>
      <w:rPr>
        <w:rFonts w:ascii="Symbol" w:hAnsi="Symbol" w:cs="OpenSymbol"/>
        <w:color w:val="00000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1"/>
      <w:numFmt w:val="bullet"/>
      <w:lvlText w:val=""/>
      <w:lvlJc w:val="left"/>
      <w:pPr>
        <w:tabs>
          <w:tab w:val="num" w:pos="720"/>
        </w:tabs>
        <w:ind w:left="720" w:hanging="283"/>
      </w:pPr>
      <w:rPr>
        <w:rFonts w:ascii="Symbol" w:hAnsi="Symbol" w:cs="OpenSymbol"/>
        <w:color w:val="00000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12D572D"/>
    <w:multiLevelType w:val="hybridMultilevel"/>
    <w:tmpl w:val="4306B08A"/>
    <w:lvl w:ilvl="0" w:tplc="3DECE7A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018041C7"/>
    <w:multiLevelType w:val="hybridMultilevel"/>
    <w:tmpl w:val="315A9672"/>
    <w:lvl w:ilvl="0" w:tplc="BDB8DCB6">
      <w:start w:val="1"/>
      <w:numFmt w:val="decimal"/>
      <w:lvlText w:val="(%1)"/>
      <w:lvlJc w:val="left"/>
      <w:pPr>
        <w:ind w:left="360" w:hanging="360"/>
      </w:pPr>
      <w:rPr>
        <w:rFonts w:ascii="Calibri" w:eastAsia="Calibri" w:hAnsi="Calibri" w:cs="Calibri" w:hint="default"/>
        <w:spacing w:val="-28"/>
        <w:w w:val="100"/>
        <w:sz w:val="24"/>
        <w:szCs w:val="24"/>
        <w:lang w:val="en-US" w:eastAsia="en-US" w:bidi="en-US"/>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nsid w:val="02A82087"/>
    <w:multiLevelType w:val="multilevel"/>
    <w:tmpl w:val="402A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A60FF4"/>
    <w:multiLevelType w:val="multilevel"/>
    <w:tmpl w:val="9338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A243DDF"/>
    <w:multiLevelType w:val="hybridMultilevel"/>
    <w:tmpl w:val="946672F6"/>
    <w:lvl w:ilvl="0" w:tplc="BDB8DCB6">
      <w:start w:val="1"/>
      <w:numFmt w:val="decimal"/>
      <w:lvlText w:val="(%1)"/>
      <w:lvlJc w:val="left"/>
      <w:pPr>
        <w:ind w:left="360" w:hanging="360"/>
      </w:pPr>
      <w:rPr>
        <w:rFonts w:ascii="Calibri" w:eastAsia="Calibri" w:hAnsi="Calibri" w:cs="Calibri" w:hint="default"/>
        <w:spacing w:val="-28"/>
        <w:w w:val="100"/>
        <w:sz w:val="24"/>
        <w:szCs w:val="24"/>
        <w:lang w:val="en-US" w:eastAsia="en-US" w:bidi="en-US"/>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nsid w:val="0AAA53C5"/>
    <w:multiLevelType w:val="hybridMultilevel"/>
    <w:tmpl w:val="ED383758"/>
    <w:lvl w:ilvl="0" w:tplc="BDB8DCB6">
      <w:start w:val="1"/>
      <w:numFmt w:val="decimal"/>
      <w:lvlText w:val="(%1)"/>
      <w:lvlJc w:val="left"/>
      <w:pPr>
        <w:ind w:left="360" w:hanging="360"/>
      </w:pPr>
      <w:rPr>
        <w:rFonts w:ascii="Calibri" w:eastAsia="Calibri" w:hAnsi="Calibri" w:cs="Calibri" w:hint="default"/>
        <w:spacing w:val="-28"/>
        <w:w w:val="100"/>
        <w:sz w:val="24"/>
        <w:szCs w:val="24"/>
        <w:lang w:val="en-US" w:eastAsia="en-US" w:bidi="en-US"/>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nsid w:val="0B4D35E4"/>
    <w:multiLevelType w:val="hybridMultilevel"/>
    <w:tmpl w:val="5380D270"/>
    <w:lvl w:ilvl="0" w:tplc="04404618">
      <w:start w:val="2"/>
      <w:numFmt w:val="bullet"/>
      <w:lvlText w:val="-"/>
      <w:lvlJc w:val="left"/>
      <w:pPr>
        <w:ind w:left="1080" w:hanging="360"/>
      </w:pPr>
      <w:rPr>
        <w:rFonts w:ascii="Aptos Display" w:eastAsiaTheme="minorHAnsi" w:hAnsi="Aptos Display" w:cstheme="minorBid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2">
    <w:nsid w:val="0CE432C8"/>
    <w:multiLevelType w:val="multilevel"/>
    <w:tmpl w:val="D2E0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4221A8D"/>
    <w:multiLevelType w:val="hybridMultilevel"/>
    <w:tmpl w:val="1E006C72"/>
    <w:lvl w:ilvl="0" w:tplc="368E5096">
      <w:start w:val="1"/>
      <w:numFmt w:val="decimal"/>
      <w:lvlText w:val="(%1)"/>
      <w:lvlJc w:val="left"/>
      <w:pPr>
        <w:ind w:left="720" w:hanging="360"/>
      </w:pPr>
      <w:rPr>
        <w:rFonts w:cs="sans-serif"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1A3F2420"/>
    <w:multiLevelType w:val="hybridMultilevel"/>
    <w:tmpl w:val="227A134C"/>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5">
    <w:nsid w:val="1F9009E0"/>
    <w:multiLevelType w:val="hybridMultilevel"/>
    <w:tmpl w:val="23AA7B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20062D80"/>
    <w:multiLevelType w:val="hybridMultilevel"/>
    <w:tmpl w:val="A7749A30"/>
    <w:lvl w:ilvl="0" w:tplc="BDB8DCB6">
      <w:start w:val="1"/>
      <w:numFmt w:val="decimal"/>
      <w:lvlText w:val="(%1)"/>
      <w:lvlJc w:val="left"/>
      <w:pPr>
        <w:ind w:left="360" w:hanging="360"/>
      </w:pPr>
      <w:rPr>
        <w:rFonts w:ascii="Calibri" w:eastAsia="Calibri" w:hAnsi="Calibri" w:cs="Calibri" w:hint="default"/>
        <w:spacing w:val="-28"/>
        <w:w w:val="100"/>
        <w:sz w:val="24"/>
        <w:szCs w:val="24"/>
        <w:lang w:val="en-US" w:eastAsia="en-US" w:bidi="en-US"/>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7">
    <w:nsid w:val="20EE7200"/>
    <w:multiLevelType w:val="hybridMultilevel"/>
    <w:tmpl w:val="86A60BAE"/>
    <w:lvl w:ilvl="0" w:tplc="040CB8D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216A10F0"/>
    <w:multiLevelType w:val="multilevel"/>
    <w:tmpl w:val="FEB4D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3440E61"/>
    <w:multiLevelType w:val="hybridMultilevel"/>
    <w:tmpl w:val="F92A5840"/>
    <w:lvl w:ilvl="0" w:tplc="BDB8DCB6">
      <w:start w:val="1"/>
      <w:numFmt w:val="decimal"/>
      <w:lvlText w:val="(%1)"/>
      <w:lvlJc w:val="left"/>
      <w:pPr>
        <w:ind w:left="360" w:hanging="360"/>
      </w:pPr>
      <w:rPr>
        <w:rFonts w:ascii="Calibri" w:eastAsia="Calibri" w:hAnsi="Calibri" w:cs="Calibri" w:hint="default"/>
        <w:spacing w:val="-28"/>
        <w:w w:val="100"/>
        <w:sz w:val="24"/>
        <w:szCs w:val="24"/>
        <w:lang w:val="en-US" w:eastAsia="en-US" w:bidi="en-US"/>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0">
    <w:nsid w:val="248F4BF7"/>
    <w:multiLevelType w:val="hybridMultilevel"/>
    <w:tmpl w:val="AA5647AA"/>
    <w:lvl w:ilvl="0" w:tplc="C24C5CC0">
      <w:start w:val="1"/>
      <w:numFmt w:val="decimal"/>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28626482"/>
    <w:multiLevelType w:val="hybridMultilevel"/>
    <w:tmpl w:val="2A2E9DAA"/>
    <w:lvl w:ilvl="0" w:tplc="BDB8DCB6">
      <w:start w:val="1"/>
      <w:numFmt w:val="decimal"/>
      <w:lvlText w:val="(%1)"/>
      <w:lvlJc w:val="left"/>
      <w:pPr>
        <w:ind w:left="360" w:hanging="360"/>
      </w:pPr>
      <w:rPr>
        <w:rFonts w:ascii="Calibri" w:eastAsia="Calibri" w:hAnsi="Calibri" w:cs="Calibri" w:hint="default"/>
        <w:spacing w:val="-28"/>
        <w:w w:val="100"/>
        <w:sz w:val="24"/>
        <w:szCs w:val="24"/>
        <w:lang w:val="en-US" w:eastAsia="en-US" w:bidi="en-US"/>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2">
    <w:nsid w:val="2C4330D1"/>
    <w:multiLevelType w:val="hybridMultilevel"/>
    <w:tmpl w:val="D87C8D98"/>
    <w:lvl w:ilvl="0" w:tplc="BDB8DCB6">
      <w:start w:val="1"/>
      <w:numFmt w:val="decimal"/>
      <w:lvlText w:val="(%1)"/>
      <w:lvlJc w:val="left"/>
      <w:pPr>
        <w:ind w:left="360" w:hanging="360"/>
      </w:pPr>
      <w:rPr>
        <w:rFonts w:ascii="Calibri" w:eastAsia="Calibri" w:hAnsi="Calibri" w:cs="Calibri" w:hint="default"/>
        <w:spacing w:val="-28"/>
        <w:w w:val="100"/>
        <w:sz w:val="24"/>
        <w:szCs w:val="24"/>
        <w:lang w:val="en-US" w:eastAsia="en-US" w:bidi="en-US"/>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nsid w:val="2DF85027"/>
    <w:multiLevelType w:val="multilevel"/>
    <w:tmpl w:val="591E5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1ED19B7"/>
    <w:multiLevelType w:val="hybridMultilevel"/>
    <w:tmpl w:val="7A300230"/>
    <w:lvl w:ilvl="0" w:tplc="3ACE4214">
      <w:start w:val="1"/>
      <w:numFmt w:val="decimal"/>
      <w:lvlText w:val="%1."/>
      <w:lvlJc w:val="left"/>
      <w:pPr>
        <w:ind w:left="720" w:hanging="360"/>
      </w:pPr>
      <w:rPr>
        <w:rFonts w:cs="sans-serif"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320246EC"/>
    <w:multiLevelType w:val="hybridMultilevel"/>
    <w:tmpl w:val="42F2B1DA"/>
    <w:lvl w:ilvl="0" w:tplc="040E0011">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6">
    <w:nsid w:val="33B14FA2"/>
    <w:multiLevelType w:val="multilevel"/>
    <w:tmpl w:val="7A6E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697065A"/>
    <w:multiLevelType w:val="multilevel"/>
    <w:tmpl w:val="D72AD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D773EE7"/>
    <w:multiLevelType w:val="hybridMultilevel"/>
    <w:tmpl w:val="8FE01BAC"/>
    <w:lvl w:ilvl="0" w:tplc="BDB8DCB6">
      <w:start w:val="1"/>
      <w:numFmt w:val="decimal"/>
      <w:lvlText w:val="(%1)"/>
      <w:lvlJc w:val="left"/>
      <w:pPr>
        <w:ind w:left="360" w:hanging="360"/>
      </w:pPr>
      <w:rPr>
        <w:rFonts w:ascii="Calibri" w:eastAsia="Calibri" w:hAnsi="Calibri" w:cs="Calibri" w:hint="default"/>
        <w:spacing w:val="-28"/>
        <w:w w:val="100"/>
        <w:sz w:val="24"/>
        <w:szCs w:val="24"/>
        <w:lang w:val="en-US" w:eastAsia="en-US" w:bidi="en-US"/>
      </w:rPr>
    </w:lvl>
    <w:lvl w:ilvl="1" w:tplc="040E0003">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9">
    <w:nsid w:val="40024E60"/>
    <w:multiLevelType w:val="multilevel"/>
    <w:tmpl w:val="F4EE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4CD266B"/>
    <w:multiLevelType w:val="hybridMultilevel"/>
    <w:tmpl w:val="9496D944"/>
    <w:lvl w:ilvl="0" w:tplc="27380AF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nsid w:val="459F2E35"/>
    <w:multiLevelType w:val="hybridMultilevel"/>
    <w:tmpl w:val="98C8CB0A"/>
    <w:lvl w:ilvl="0" w:tplc="BDB8DCB6">
      <w:start w:val="1"/>
      <w:numFmt w:val="decimal"/>
      <w:lvlText w:val="(%1)"/>
      <w:lvlJc w:val="left"/>
      <w:pPr>
        <w:ind w:left="360" w:hanging="360"/>
      </w:pPr>
      <w:rPr>
        <w:rFonts w:ascii="Calibri" w:eastAsia="Calibri" w:hAnsi="Calibri" w:cs="Calibri" w:hint="default"/>
        <w:spacing w:val="-28"/>
        <w:w w:val="100"/>
        <w:sz w:val="24"/>
        <w:szCs w:val="24"/>
        <w:lang w:val="en-US" w:eastAsia="en-US" w:bidi="en-US"/>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2">
    <w:nsid w:val="4A2D66AA"/>
    <w:multiLevelType w:val="hybridMultilevel"/>
    <w:tmpl w:val="FAB8EC84"/>
    <w:lvl w:ilvl="0" w:tplc="4F40BF4A">
      <w:numFmt w:val="bullet"/>
      <w:lvlText w:val="-"/>
      <w:lvlJc w:val="left"/>
      <w:pPr>
        <w:ind w:left="720" w:hanging="360"/>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4EE44210"/>
    <w:multiLevelType w:val="hybridMultilevel"/>
    <w:tmpl w:val="4C5836A0"/>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516E32D2"/>
    <w:multiLevelType w:val="hybridMultilevel"/>
    <w:tmpl w:val="19BC99C0"/>
    <w:lvl w:ilvl="0" w:tplc="46C8C0C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nsid w:val="53FB045D"/>
    <w:multiLevelType w:val="hybridMultilevel"/>
    <w:tmpl w:val="044C5AAE"/>
    <w:lvl w:ilvl="0" w:tplc="04404618">
      <w:start w:val="2"/>
      <w:numFmt w:val="bullet"/>
      <w:lvlText w:val="-"/>
      <w:lvlJc w:val="left"/>
      <w:pPr>
        <w:ind w:left="1080" w:hanging="360"/>
      </w:pPr>
      <w:rPr>
        <w:rFonts w:ascii="Aptos Display" w:eastAsiaTheme="minorHAnsi" w:hAnsi="Aptos Display"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nsid w:val="54B67F37"/>
    <w:multiLevelType w:val="hybridMultilevel"/>
    <w:tmpl w:val="64B4B8AA"/>
    <w:lvl w:ilvl="0" w:tplc="BDB8DCB6">
      <w:start w:val="1"/>
      <w:numFmt w:val="decimal"/>
      <w:lvlText w:val="(%1)"/>
      <w:lvlJc w:val="left"/>
      <w:pPr>
        <w:ind w:left="360" w:hanging="360"/>
      </w:pPr>
      <w:rPr>
        <w:rFonts w:ascii="Calibri" w:eastAsia="Calibri" w:hAnsi="Calibri" w:cs="Calibri" w:hint="default"/>
        <w:spacing w:val="-28"/>
        <w:w w:val="100"/>
        <w:sz w:val="24"/>
        <w:szCs w:val="24"/>
        <w:lang w:val="en-US" w:eastAsia="en-US" w:bidi="en-US"/>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7">
    <w:nsid w:val="56467067"/>
    <w:multiLevelType w:val="hybridMultilevel"/>
    <w:tmpl w:val="2E1AE70C"/>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8">
    <w:nsid w:val="5CCC3F5E"/>
    <w:multiLevelType w:val="hybridMultilevel"/>
    <w:tmpl w:val="26062502"/>
    <w:lvl w:ilvl="0" w:tplc="D056270A">
      <w:start w:val="2"/>
      <w:numFmt w:val="bullet"/>
      <w:lvlText w:val="-"/>
      <w:lvlJc w:val="left"/>
      <w:pPr>
        <w:ind w:left="1080" w:hanging="360"/>
      </w:pPr>
      <w:rPr>
        <w:rFonts w:ascii="Aptos Display" w:eastAsiaTheme="minorHAnsi" w:hAnsi="Aptos Display" w:cs="sans-serif"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9">
    <w:nsid w:val="606A08C9"/>
    <w:multiLevelType w:val="hybridMultilevel"/>
    <w:tmpl w:val="82987C8E"/>
    <w:lvl w:ilvl="0" w:tplc="BDB8DCB6">
      <w:start w:val="1"/>
      <w:numFmt w:val="decimal"/>
      <w:lvlText w:val="(%1)"/>
      <w:lvlJc w:val="left"/>
      <w:pPr>
        <w:ind w:left="360" w:hanging="360"/>
      </w:pPr>
      <w:rPr>
        <w:rFonts w:ascii="Calibri" w:eastAsia="Calibri" w:hAnsi="Calibri" w:cs="Calibri" w:hint="default"/>
        <w:spacing w:val="-28"/>
        <w:w w:val="100"/>
        <w:sz w:val="24"/>
        <w:szCs w:val="24"/>
        <w:lang w:val="en-US" w:eastAsia="en-US" w:bidi="en-US"/>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0">
    <w:nsid w:val="6A1A3B84"/>
    <w:multiLevelType w:val="multilevel"/>
    <w:tmpl w:val="CB20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EB5661"/>
    <w:multiLevelType w:val="hybridMultilevel"/>
    <w:tmpl w:val="3B64B8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nsid w:val="6CD6103D"/>
    <w:multiLevelType w:val="hybridMultilevel"/>
    <w:tmpl w:val="3880D3A6"/>
    <w:lvl w:ilvl="0" w:tplc="040CB8D8">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3">
    <w:nsid w:val="6EBA2F75"/>
    <w:multiLevelType w:val="hybridMultilevel"/>
    <w:tmpl w:val="DFFED810"/>
    <w:lvl w:ilvl="0" w:tplc="BDB8DCB6">
      <w:start w:val="1"/>
      <w:numFmt w:val="decimal"/>
      <w:lvlText w:val="(%1)"/>
      <w:lvlJc w:val="left"/>
      <w:pPr>
        <w:ind w:left="360" w:hanging="360"/>
      </w:pPr>
      <w:rPr>
        <w:rFonts w:ascii="Calibri" w:eastAsia="Calibri" w:hAnsi="Calibri" w:cs="Calibri" w:hint="default"/>
        <w:spacing w:val="-28"/>
        <w:w w:val="100"/>
        <w:sz w:val="24"/>
        <w:szCs w:val="24"/>
        <w:lang w:val="en-US" w:eastAsia="en-US" w:bidi="en-US"/>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4">
    <w:nsid w:val="6F7E0B87"/>
    <w:multiLevelType w:val="multilevel"/>
    <w:tmpl w:val="DD16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0704248"/>
    <w:multiLevelType w:val="multilevel"/>
    <w:tmpl w:val="64A0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26568D8"/>
    <w:multiLevelType w:val="hybridMultilevel"/>
    <w:tmpl w:val="9856C2D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nsid w:val="7594087A"/>
    <w:multiLevelType w:val="hybridMultilevel"/>
    <w:tmpl w:val="92BE1486"/>
    <w:lvl w:ilvl="0" w:tplc="BDB8DCB6">
      <w:start w:val="1"/>
      <w:numFmt w:val="decimal"/>
      <w:lvlText w:val="(%1)"/>
      <w:lvlJc w:val="left"/>
      <w:pPr>
        <w:ind w:left="360" w:hanging="360"/>
      </w:pPr>
      <w:rPr>
        <w:rFonts w:ascii="Calibri" w:eastAsia="Calibri" w:hAnsi="Calibri" w:cs="Calibri" w:hint="default"/>
        <w:spacing w:val="-28"/>
        <w:w w:val="100"/>
        <w:sz w:val="24"/>
        <w:szCs w:val="24"/>
        <w:lang w:val="en-US" w:eastAsia="en-US" w:bidi="en-US"/>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8">
    <w:nsid w:val="7DC53A43"/>
    <w:multiLevelType w:val="multilevel"/>
    <w:tmpl w:val="D6BC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280B47"/>
    <w:multiLevelType w:val="hybridMultilevel"/>
    <w:tmpl w:val="B588B4CA"/>
    <w:lvl w:ilvl="0" w:tplc="040CB8D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32"/>
  </w:num>
  <w:num w:numId="4">
    <w:abstractNumId w:val="37"/>
  </w:num>
  <w:num w:numId="5">
    <w:abstractNumId w:val="45"/>
  </w:num>
  <w:num w:numId="6">
    <w:abstractNumId w:val="30"/>
  </w:num>
  <w:num w:numId="7">
    <w:abstractNumId w:val="39"/>
  </w:num>
  <w:num w:numId="8">
    <w:abstractNumId w:val="16"/>
  </w:num>
  <w:num w:numId="9">
    <w:abstractNumId w:val="14"/>
  </w:num>
  <w:num w:numId="10">
    <w:abstractNumId w:val="15"/>
  </w:num>
  <w:num w:numId="11">
    <w:abstractNumId w:val="41"/>
  </w:num>
  <w:num w:numId="12">
    <w:abstractNumId w:val="47"/>
  </w:num>
  <w:num w:numId="13">
    <w:abstractNumId w:val="28"/>
  </w:num>
  <w:num w:numId="14">
    <w:abstractNumId w:val="21"/>
  </w:num>
  <w:num w:numId="15">
    <w:abstractNumId w:val="34"/>
  </w:num>
  <w:num w:numId="16">
    <w:abstractNumId w:val="19"/>
  </w:num>
  <w:num w:numId="17">
    <w:abstractNumId w:val="31"/>
  </w:num>
  <w:num w:numId="18">
    <w:abstractNumId w:val="36"/>
  </w:num>
  <w:num w:numId="19">
    <w:abstractNumId w:val="43"/>
  </w:num>
  <w:num w:numId="20">
    <w:abstractNumId w:val="22"/>
  </w:num>
  <w:num w:numId="21">
    <w:abstractNumId w:val="10"/>
  </w:num>
  <w:num w:numId="22">
    <w:abstractNumId w:val="9"/>
  </w:num>
  <w:num w:numId="23">
    <w:abstractNumId w:val="6"/>
  </w:num>
  <w:num w:numId="24">
    <w:abstractNumId w:val="0"/>
  </w:num>
  <w:num w:numId="25">
    <w:abstractNumId w:val="1"/>
  </w:num>
  <w:num w:numId="26">
    <w:abstractNumId w:val="2"/>
  </w:num>
  <w:num w:numId="27">
    <w:abstractNumId w:val="3"/>
  </w:num>
  <w:num w:numId="28">
    <w:abstractNumId w:val="4"/>
  </w:num>
  <w:num w:numId="29">
    <w:abstractNumId w:val="24"/>
  </w:num>
  <w:num w:numId="30">
    <w:abstractNumId w:val="25"/>
  </w:num>
  <w:num w:numId="31">
    <w:abstractNumId w:val="33"/>
  </w:num>
  <w:num w:numId="32">
    <w:abstractNumId w:val="13"/>
  </w:num>
  <w:num w:numId="33">
    <w:abstractNumId w:val="38"/>
  </w:num>
  <w:num w:numId="34">
    <w:abstractNumId w:val="11"/>
  </w:num>
  <w:num w:numId="35">
    <w:abstractNumId w:val="26"/>
  </w:num>
  <w:num w:numId="36">
    <w:abstractNumId w:val="35"/>
  </w:num>
  <w:num w:numId="37">
    <w:abstractNumId w:val="46"/>
  </w:num>
  <w:num w:numId="38">
    <w:abstractNumId w:val="42"/>
  </w:num>
  <w:num w:numId="39">
    <w:abstractNumId w:val="17"/>
  </w:num>
  <w:num w:numId="40">
    <w:abstractNumId w:val="49"/>
  </w:num>
  <w:num w:numId="41">
    <w:abstractNumId w:val="29"/>
  </w:num>
  <w:num w:numId="42">
    <w:abstractNumId w:val="27"/>
  </w:num>
  <w:num w:numId="43">
    <w:abstractNumId w:val="8"/>
  </w:num>
  <w:num w:numId="44">
    <w:abstractNumId w:val="18"/>
  </w:num>
  <w:num w:numId="45">
    <w:abstractNumId w:val="44"/>
  </w:num>
  <w:num w:numId="46">
    <w:abstractNumId w:val="7"/>
  </w:num>
  <w:num w:numId="47">
    <w:abstractNumId w:val="40"/>
  </w:num>
  <w:num w:numId="48">
    <w:abstractNumId w:val="48"/>
  </w:num>
  <w:num w:numId="49">
    <w:abstractNumId w:val="12"/>
  </w:num>
  <w:num w:numId="5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377AB9"/>
    <w:rsid w:val="000019CF"/>
    <w:rsid w:val="00001B52"/>
    <w:rsid w:val="00002E30"/>
    <w:rsid w:val="0000369E"/>
    <w:rsid w:val="0000721F"/>
    <w:rsid w:val="00032659"/>
    <w:rsid w:val="0006060A"/>
    <w:rsid w:val="0007294C"/>
    <w:rsid w:val="00074E97"/>
    <w:rsid w:val="00077645"/>
    <w:rsid w:val="00083000"/>
    <w:rsid w:val="000864FD"/>
    <w:rsid w:val="00095CC4"/>
    <w:rsid w:val="000A1419"/>
    <w:rsid w:val="000B525A"/>
    <w:rsid w:val="000B59B5"/>
    <w:rsid w:val="000B64F1"/>
    <w:rsid w:val="000C52F2"/>
    <w:rsid w:val="001074BC"/>
    <w:rsid w:val="00113945"/>
    <w:rsid w:val="00122975"/>
    <w:rsid w:val="001274AB"/>
    <w:rsid w:val="00135703"/>
    <w:rsid w:val="0013789B"/>
    <w:rsid w:val="00144611"/>
    <w:rsid w:val="00145385"/>
    <w:rsid w:val="00153111"/>
    <w:rsid w:val="001553AC"/>
    <w:rsid w:val="00166C08"/>
    <w:rsid w:val="00173038"/>
    <w:rsid w:val="00180DE2"/>
    <w:rsid w:val="0018207A"/>
    <w:rsid w:val="001835E7"/>
    <w:rsid w:val="001910AF"/>
    <w:rsid w:val="00191118"/>
    <w:rsid w:val="00193C46"/>
    <w:rsid w:val="001A0688"/>
    <w:rsid w:val="001A194A"/>
    <w:rsid w:val="001C6676"/>
    <w:rsid w:val="001C705B"/>
    <w:rsid w:val="001E07CB"/>
    <w:rsid w:val="001E32DB"/>
    <w:rsid w:val="001E734F"/>
    <w:rsid w:val="0020079C"/>
    <w:rsid w:val="002222CE"/>
    <w:rsid w:val="00225DA9"/>
    <w:rsid w:val="0024447C"/>
    <w:rsid w:val="00244643"/>
    <w:rsid w:val="00275877"/>
    <w:rsid w:val="00277A58"/>
    <w:rsid w:val="002816FE"/>
    <w:rsid w:val="0029185D"/>
    <w:rsid w:val="00291998"/>
    <w:rsid w:val="002B41E5"/>
    <w:rsid w:val="002C4745"/>
    <w:rsid w:val="002E3856"/>
    <w:rsid w:val="0031025A"/>
    <w:rsid w:val="00312FA2"/>
    <w:rsid w:val="0032477F"/>
    <w:rsid w:val="00324A5B"/>
    <w:rsid w:val="00334389"/>
    <w:rsid w:val="00337D47"/>
    <w:rsid w:val="0034512B"/>
    <w:rsid w:val="00346447"/>
    <w:rsid w:val="00356BBA"/>
    <w:rsid w:val="00360158"/>
    <w:rsid w:val="00377AB9"/>
    <w:rsid w:val="00382A9F"/>
    <w:rsid w:val="00385DE5"/>
    <w:rsid w:val="0038776A"/>
    <w:rsid w:val="0039509D"/>
    <w:rsid w:val="00396F6F"/>
    <w:rsid w:val="003A28B3"/>
    <w:rsid w:val="003A56FD"/>
    <w:rsid w:val="003A6F16"/>
    <w:rsid w:val="003B4C1C"/>
    <w:rsid w:val="003B77C9"/>
    <w:rsid w:val="003C6081"/>
    <w:rsid w:val="003C7269"/>
    <w:rsid w:val="003D0501"/>
    <w:rsid w:val="003E14D4"/>
    <w:rsid w:val="004013FD"/>
    <w:rsid w:val="00410509"/>
    <w:rsid w:val="0041202A"/>
    <w:rsid w:val="00425D31"/>
    <w:rsid w:val="00425F71"/>
    <w:rsid w:val="004279AE"/>
    <w:rsid w:val="00432F92"/>
    <w:rsid w:val="004347B0"/>
    <w:rsid w:val="00457430"/>
    <w:rsid w:val="0047315C"/>
    <w:rsid w:val="00484071"/>
    <w:rsid w:val="004A0742"/>
    <w:rsid w:val="004A5725"/>
    <w:rsid w:val="004C1CA1"/>
    <w:rsid w:val="004D1D34"/>
    <w:rsid w:val="004E61BF"/>
    <w:rsid w:val="004F1FA2"/>
    <w:rsid w:val="004F2C5E"/>
    <w:rsid w:val="004F6125"/>
    <w:rsid w:val="00524DB7"/>
    <w:rsid w:val="0053543D"/>
    <w:rsid w:val="00535B37"/>
    <w:rsid w:val="005445EB"/>
    <w:rsid w:val="00546322"/>
    <w:rsid w:val="005522AE"/>
    <w:rsid w:val="005653FD"/>
    <w:rsid w:val="00566E08"/>
    <w:rsid w:val="00586600"/>
    <w:rsid w:val="00592D15"/>
    <w:rsid w:val="00594782"/>
    <w:rsid w:val="00596988"/>
    <w:rsid w:val="005A1DDF"/>
    <w:rsid w:val="005B1CF5"/>
    <w:rsid w:val="005B547F"/>
    <w:rsid w:val="005F374D"/>
    <w:rsid w:val="005F6F8D"/>
    <w:rsid w:val="00601531"/>
    <w:rsid w:val="0060740E"/>
    <w:rsid w:val="00610B5D"/>
    <w:rsid w:val="006145DB"/>
    <w:rsid w:val="00616520"/>
    <w:rsid w:val="00616AF9"/>
    <w:rsid w:val="00627E7F"/>
    <w:rsid w:val="006429FC"/>
    <w:rsid w:val="00652B7C"/>
    <w:rsid w:val="00653547"/>
    <w:rsid w:val="00665299"/>
    <w:rsid w:val="00673CD0"/>
    <w:rsid w:val="0067463F"/>
    <w:rsid w:val="00674926"/>
    <w:rsid w:val="00686B89"/>
    <w:rsid w:val="0069175D"/>
    <w:rsid w:val="00695E03"/>
    <w:rsid w:val="006A0A5E"/>
    <w:rsid w:val="006A6093"/>
    <w:rsid w:val="006B3F71"/>
    <w:rsid w:val="006B5C38"/>
    <w:rsid w:val="006C2E61"/>
    <w:rsid w:val="006C6B51"/>
    <w:rsid w:val="006D051F"/>
    <w:rsid w:val="006E70CB"/>
    <w:rsid w:val="006F2562"/>
    <w:rsid w:val="007011A0"/>
    <w:rsid w:val="00702001"/>
    <w:rsid w:val="0070590F"/>
    <w:rsid w:val="007119A5"/>
    <w:rsid w:val="00713F90"/>
    <w:rsid w:val="00725373"/>
    <w:rsid w:val="00726AB0"/>
    <w:rsid w:val="00731AE4"/>
    <w:rsid w:val="00734877"/>
    <w:rsid w:val="00735C68"/>
    <w:rsid w:val="00751D4C"/>
    <w:rsid w:val="00772FA4"/>
    <w:rsid w:val="00775E33"/>
    <w:rsid w:val="00784613"/>
    <w:rsid w:val="007A2EDA"/>
    <w:rsid w:val="007A3093"/>
    <w:rsid w:val="007A70D2"/>
    <w:rsid w:val="007B6095"/>
    <w:rsid w:val="007C49DF"/>
    <w:rsid w:val="007D10ED"/>
    <w:rsid w:val="007D40CD"/>
    <w:rsid w:val="007D6594"/>
    <w:rsid w:val="007D6D5C"/>
    <w:rsid w:val="007F7D8E"/>
    <w:rsid w:val="008238A7"/>
    <w:rsid w:val="0082790D"/>
    <w:rsid w:val="00845ED4"/>
    <w:rsid w:val="00847086"/>
    <w:rsid w:val="00867B18"/>
    <w:rsid w:val="00890EDF"/>
    <w:rsid w:val="008A0161"/>
    <w:rsid w:val="008A55AD"/>
    <w:rsid w:val="008A591E"/>
    <w:rsid w:val="008D513F"/>
    <w:rsid w:val="008E4A20"/>
    <w:rsid w:val="008F20AD"/>
    <w:rsid w:val="008F5182"/>
    <w:rsid w:val="008F5188"/>
    <w:rsid w:val="008F77D3"/>
    <w:rsid w:val="00914B20"/>
    <w:rsid w:val="00924BAF"/>
    <w:rsid w:val="00926913"/>
    <w:rsid w:val="00927A0B"/>
    <w:rsid w:val="00950F8E"/>
    <w:rsid w:val="00961242"/>
    <w:rsid w:val="00963BFE"/>
    <w:rsid w:val="0096707D"/>
    <w:rsid w:val="00974599"/>
    <w:rsid w:val="0097561F"/>
    <w:rsid w:val="00986E70"/>
    <w:rsid w:val="00987713"/>
    <w:rsid w:val="00992FB4"/>
    <w:rsid w:val="00996284"/>
    <w:rsid w:val="009B61C7"/>
    <w:rsid w:val="009B6984"/>
    <w:rsid w:val="009C40E0"/>
    <w:rsid w:val="009D4B2E"/>
    <w:rsid w:val="009E108F"/>
    <w:rsid w:val="009F258C"/>
    <w:rsid w:val="00A17067"/>
    <w:rsid w:val="00A17D60"/>
    <w:rsid w:val="00A2021A"/>
    <w:rsid w:val="00A2572A"/>
    <w:rsid w:val="00A317A1"/>
    <w:rsid w:val="00A455DB"/>
    <w:rsid w:val="00A6737C"/>
    <w:rsid w:val="00A67B99"/>
    <w:rsid w:val="00A712DB"/>
    <w:rsid w:val="00A7220A"/>
    <w:rsid w:val="00A752FA"/>
    <w:rsid w:val="00A755C6"/>
    <w:rsid w:val="00A77BF0"/>
    <w:rsid w:val="00A77F08"/>
    <w:rsid w:val="00A81C32"/>
    <w:rsid w:val="00A82631"/>
    <w:rsid w:val="00A82AFF"/>
    <w:rsid w:val="00A955AC"/>
    <w:rsid w:val="00A97BA4"/>
    <w:rsid w:val="00AA095A"/>
    <w:rsid w:val="00AA5F4B"/>
    <w:rsid w:val="00AD2377"/>
    <w:rsid w:val="00B11A6F"/>
    <w:rsid w:val="00B12ECF"/>
    <w:rsid w:val="00B176FE"/>
    <w:rsid w:val="00B278FE"/>
    <w:rsid w:val="00B36176"/>
    <w:rsid w:val="00B55815"/>
    <w:rsid w:val="00B60448"/>
    <w:rsid w:val="00B609F9"/>
    <w:rsid w:val="00B82CFB"/>
    <w:rsid w:val="00B8708E"/>
    <w:rsid w:val="00B87FE8"/>
    <w:rsid w:val="00B94684"/>
    <w:rsid w:val="00BB51D2"/>
    <w:rsid w:val="00BB5752"/>
    <w:rsid w:val="00BB5E6F"/>
    <w:rsid w:val="00BB6D44"/>
    <w:rsid w:val="00BC1DAD"/>
    <w:rsid w:val="00BD3EF2"/>
    <w:rsid w:val="00BD7721"/>
    <w:rsid w:val="00BE34A7"/>
    <w:rsid w:val="00BE7322"/>
    <w:rsid w:val="00BE760D"/>
    <w:rsid w:val="00BF1329"/>
    <w:rsid w:val="00C04643"/>
    <w:rsid w:val="00C34C3C"/>
    <w:rsid w:val="00C60BE6"/>
    <w:rsid w:val="00C619D1"/>
    <w:rsid w:val="00C67449"/>
    <w:rsid w:val="00C7053C"/>
    <w:rsid w:val="00C7658B"/>
    <w:rsid w:val="00C77535"/>
    <w:rsid w:val="00C8502E"/>
    <w:rsid w:val="00C9257E"/>
    <w:rsid w:val="00CA4184"/>
    <w:rsid w:val="00CB3074"/>
    <w:rsid w:val="00CB5481"/>
    <w:rsid w:val="00CC11C1"/>
    <w:rsid w:val="00CC2D92"/>
    <w:rsid w:val="00CF3761"/>
    <w:rsid w:val="00CF7BAB"/>
    <w:rsid w:val="00CF7D9B"/>
    <w:rsid w:val="00D05A83"/>
    <w:rsid w:val="00D07AFE"/>
    <w:rsid w:val="00D1708F"/>
    <w:rsid w:val="00D22FDD"/>
    <w:rsid w:val="00D32ED0"/>
    <w:rsid w:val="00D355B1"/>
    <w:rsid w:val="00D47C9A"/>
    <w:rsid w:val="00D57ECE"/>
    <w:rsid w:val="00D67118"/>
    <w:rsid w:val="00D76B73"/>
    <w:rsid w:val="00D8178A"/>
    <w:rsid w:val="00D8451B"/>
    <w:rsid w:val="00D86130"/>
    <w:rsid w:val="00D868C4"/>
    <w:rsid w:val="00D901E4"/>
    <w:rsid w:val="00D94240"/>
    <w:rsid w:val="00D9646C"/>
    <w:rsid w:val="00DA11B8"/>
    <w:rsid w:val="00DA1DD5"/>
    <w:rsid w:val="00DA41AE"/>
    <w:rsid w:val="00DB7E8B"/>
    <w:rsid w:val="00DC395D"/>
    <w:rsid w:val="00DE0F89"/>
    <w:rsid w:val="00DE3798"/>
    <w:rsid w:val="00E1789D"/>
    <w:rsid w:val="00E21103"/>
    <w:rsid w:val="00E23C1B"/>
    <w:rsid w:val="00E25B90"/>
    <w:rsid w:val="00E35A22"/>
    <w:rsid w:val="00E36247"/>
    <w:rsid w:val="00E448C6"/>
    <w:rsid w:val="00E81C9A"/>
    <w:rsid w:val="00E82983"/>
    <w:rsid w:val="00E8475B"/>
    <w:rsid w:val="00E928B0"/>
    <w:rsid w:val="00E93469"/>
    <w:rsid w:val="00E9454A"/>
    <w:rsid w:val="00EA29F3"/>
    <w:rsid w:val="00EB2E9D"/>
    <w:rsid w:val="00EB40E6"/>
    <w:rsid w:val="00EB5B24"/>
    <w:rsid w:val="00EB5C29"/>
    <w:rsid w:val="00EC0C59"/>
    <w:rsid w:val="00EC33B1"/>
    <w:rsid w:val="00ED44A2"/>
    <w:rsid w:val="00ED6A13"/>
    <w:rsid w:val="00ED7115"/>
    <w:rsid w:val="00EF2B53"/>
    <w:rsid w:val="00EF3F79"/>
    <w:rsid w:val="00F0120D"/>
    <w:rsid w:val="00F012C6"/>
    <w:rsid w:val="00F10C98"/>
    <w:rsid w:val="00F1652C"/>
    <w:rsid w:val="00F62077"/>
    <w:rsid w:val="00F633C9"/>
    <w:rsid w:val="00F7061B"/>
    <w:rsid w:val="00F74B02"/>
    <w:rsid w:val="00F77057"/>
    <w:rsid w:val="00F774DA"/>
    <w:rsid w:val="00F84151"/>
    <w:rsid w:val="00FA3455"/>
    <w:rsid w:val="00FA7EE7"/>
    <w:rsid w:val="00FC0084"/>
    <w:rsid w:val="00FE5037"/>
    <w:rsid w:val="00FE50C2"/>
    <w:rsid w:val="00FF0B2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C33B1"/>
  </w:style>
  <w:style w:type="paragraph" w:styleId="Cmsor1">
    <w:name w:val="heading 1"/>
    <w:basedOn w:val="Norml"/>
    <w:next w:val="Norml"/>
    <w:link w:val="Cmsor1Char"/>
    <w:uiPriority w:val="9"/>
    <w:qFormat/>
    <w:rsid w:val="00377A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377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377AB9"/>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377AB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377AB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377AB9"/>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77AB9"/>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77AB9"/>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77AB9"/>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77AB9"/>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377AB9"/>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377AB9"/>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377AB9"/>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377AB9"/>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377AB9"/>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77AB9"/>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77AB9"/>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77AB9"/>
    <w:rPr>
      <w:rFonts w:eastAsiaTheme="majorEastAsia" w:cstheme="majorBidi"/>
      <w:color w:val="272727" w:themeColor="text1" w:themeTint="D8"/>
    </w:rPr>
  </w:style>
  <w:style w:type="paragraph" w:styleId="Cm">
    <w:name w:val="Title"/>
    <w:basedOn w:val="Norml"/>
    <w:next w:val="Norml"/>
    <w:link w:val="CmChar"/>
    <w:uiPriority w:val="10"/>
    <w:qFormat/>
    <w:rsid w:val="00377AB9"/>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77AB9"/>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77AB9"/>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77AB9"/>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77AB9"/>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377AB9"/>
    <w:rPr>
      <w:i/>
      <w:iCs/>
      <w:color w:val="404040" w:themeColor="text1" w:themeTint="BF"/>
    </w:rPr>
  </w:style>
  <w:style w:type="paragraph" w:styleId="Listaszerbekezds">
    <w:name w:val="List Paragraph"/>
    <w:basedOn w:val="Norml"/>
    <w:uiPriority w:val="34"/>
    <w:qFormat/>
    <w:rsid w:val="00377AB9"/>
    <w:pPr>
      <w:ind w:left="720"/>
      <w:contextualSpacing/>
    </w:pPr>
  </w:style>
  <w:style w:type="character" w:styleId="Ershangslyozs">
    <w:name w:val="Intense Emphasis"/>
    <w:basedOn w:val="Bekezdsalapbettpusa"/>
    <w:uiPriority w:val="21"/>
    <w:qFormat/>
    <w:rsid w:val="00377AB9"/>
    <w:rPr>
      <w:i/>
      <w:iCs/>
      <w:color w:val="0F4761" w:themeColor="accent1" w:themeShade="BF"/>
    </w:rPr>
  </w:style>
  <w:style w:type="paragraph" w:styleId="Kiemeltidzet">
    <w:name w:val="Intense Quote"/>
    <w:basedOn w:val="Norml"/>
    <w:next w:val="Norml"/>
    <w:link w:val="KiemeltidzetChar"/>
    <w:uiPriority w:val="30"/>
    <w:qFormat/>
    <w:rsid w:val="00377A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377AB9"/>
    <w:rPr>
      <w:i/>
      <w:iCs/>
      <w:color w:val="0F4761" w:themeColor="accent1" w:themeShade="BF"/>
    </w:rPr>
  </w:style>
  <w:style w:type="character" w:styleId="Ershivatkozs">
    <w:name w:val="Intense Reference"/>
    <w:basedOn w:val="Bekezdsalapbettpusa"/>
    <w:uiPriority w:val="32"/>
    <w:qFormat/>
    <w:rsid w:val="00377AB9"/>
    <w:rPr>
      <w:b/>
      <w:bCs/>
      <w:smallCaps/>
      <w:color w:val="0F4761" w:themeColor="accent1" w:themeShade="BF"/>
      <w:spacing w:val="5"/>
    </w:rPr>
  </w:style>
  <w:style w:type="paragraph" w:styleId="lfej">
    <w:name w:val="header"/>
    <w:basedOn w:val="Norml"/>
    <w:link w:val="lfejChar"/>
    <w:unhideWhenUsed/>
    <w:rsid w:val="00E25B90"/>
    <w:pPr>
      <w:tabs>
        <w:tab w:val="center" w:pos="4536"/>
        <w:tab w:val="right" w:pos="9072"/>
      </w:tabs>
    </w:pPr>
  </w:style>
  <w:style w:type="character" w:customStyle="1" w:styleId="lfejChar">
    <w:name w:val="Élőfej Char"/>
    <w:basedOn w:val="Bekezdsalapbettpusa"/>
    <w:link w:val="lfej"/>
    <w:uiPriority w:val="99"/>
    <w:rsid w:val="00E25B90"/>
  </w:style>
  <w:style w:type="paragraph" w:styleId="llb">
    <w:name w:val="footer"/>
    <w:basedOn w:val="Norml"/>
    <w:link w:val="llbChar"/>
    <w:uiPriority w:val="99"/>
    <w:unhideWhenUsed/>
    <w:rsid w:val="00E25B90"/>
    <w:pPr>
      <w:tabs>
        <w:tab w:val="center" w:pos="4536"/>
        <w:tab w:val="right" w:pos="9072"/>
      </w:tabs>
    </w:pPr>
  </w:style>
  <w:style w:type="character" w:customStyle="1" w:styleId="llbChar">
    <w:name w:val="Élőláb Char"/>
    <w:basedOn w:val="Bekezdsalapbettpusa"/>
    <w:link w:val="llb"/>
    <w:uiPriority w:val="99"/>
    <w:rsid w:val="00E25B90"/>
  </w:style>
  <w:style w:type="paragraph" w:styleId="Vltozat">
    <w:name w:val="Revision"/>
    <w:hidden/>
    <w:uiPriority w:val="99"/>
    <w:semiHidden/>
    <w:rsid w:val="009F258C"/>
  </w:style>
  <w:style w:type="paragraph" w:styleId="Tartalomjegyzkcmsora">
    <w:name w:val="TOC Heading"/>
    <w:basedOn w:val="Cmsor1"/>
    <w:next w:val="Norml"/>
    <w:uiPriority w:val="39"/>
    <w:unhideWhenUsed/>
    <w:qFormat/>
    <w:rsid w:val="009F258C"/>
    <w:pPr>
      <w:spacing w:before="480" w:after="0" w:line="276" w:lineRule="auto"/>
      <w:outlineLvl w:val="9"/>
    </w:pPr>
    <w:rPr>
      <w:b/>
      <w:bCs/>
      <w:kern w:val="0"/>
      <w:sz w:val="28"/>
      <w:szCs w:val="28"/>
      <w:lang w:eastAsia="hu-HU"/>
    </w:rPr>
  </w:style>
  <w:style w:type="paragraph" w:styleId="TJ1">
    <w:name w:val="toc 1"/>
    <w:basedOn w:val="Norml"/>
    <w:next w:val="Norml"/>
    <w:autoRedefine/>
    <w:uiPriority w:val="39"/>
    <w:unhideWhenUsed/>
    <w:rsid w:val="009F258C"/>
    <w:pPr>
      <w:spacing w:before="240" w:after="120"/>
    </w:pPr>
    <w:rPr>
      <w:b/>
      <w:bCs/>
      <w:sz w:val="20"/>
      <w:szCs w:val="20"/>
    </w:rPr>
  </w:style>
  <w:style w:type="paragraph" w:styleId="TJ2">
    <w:name w:val="toc 2"/>
    <w:basedOn w:val="Norml"/>
    <w:next w:val="Norml"/>
    <w:autoRedefine/>
    <w:uiPriority w:val="39"/>
    <w:semiHidden/>
    <w:unhideWhenUsed/>
    <w:rsid w:val="009F258C"/>
    <w:pPr>
      <w:spacing w:before="120"/>
      <w:ind w:left="240"/>
    </w:pPr>
    <w:rPr>
      <w:i/>
      <w:iCs/>
      <w:sz w:val="20"/>
      <w:szCs w:val="20"/>
    </w:rPr>
  </w:style>
  <w:style w:type="paragraph" w:styleId="TJ3">
    <w:name w:val="toc 3"/>
    <w:basedOn w:val="Norml"/>
    <w:next w:val="Norml"/>
    <w:autoRedefine/>
    <w:uiPriority w:val="39"/>
    <w:semiHidden/>
    <w:unhideWhenUsed/>
    <w:rsid w:val="009F258C"/>
    <w:pPr>
      <w:ind w:left="480"/>
    </w:pPr>
    <w:rPr>
      <w:sz w:val="20"/>
      <w:szCs w:val="20"/>
    </w:rPr>
  </w:style>
  <w:style w:type="paragraph" w:styleId="TJ4">
    <w:name w:val="toc 4"/>
    <w:basedOn w:val="Norml"/>
    <w:next w:val="Norml"/>
    <w:autoRedefine/>
    <w:uiPriority w:val="39"/>
    <w:semiHidden/>
    <w:unhideWhenUsed/>
    <w:rsid w:val="009F258C"/>
    <w:pPr>
      <w:ind w:left="720"/>
    </w:pPr>
    <w:rPr>
      <w:sz w:val="20"/>
      <w:szCs w:val="20"/>
    </w:rPr>
  </w:style>
  <w:style w:type="paragraph" w:styleId="TJ5">
    <w:name w:val="toc 5"/>
    <w:basedOn w:val="Norml"/>
    <w:next w:val="Norml"/>
    <w:autoRedefine/>
    <w:uiPriority w:val="39"/>
    <w:semiHidden/>
    <w:unhideWhenUsed/>
    <w:rsid w:val="009F258C"/>
    <w:pPr>
      <w:ind w:left="960"/>
    </w:pPr>
    <w:rPr>
      <w:sz w:val="20"/>
      <w:szCs w:val="20"/>
    </w:rPr>
  </w:style>
  <w:style w:type="paragraph" w:styleId="TJ6">
    <w:name w:val="toc 6"/>
    <w:basedOn w:val="Norml"/>
    <w:next w:val="Norml"/>
    <w:autoRedefine/>
    <w:uiPriority w:val="39"/>
    <w:semiHidden/>
    <w:unhideWhenUsed/>
    <w:rsid w:val="009F258C"/>
    <w:pPr>
      <w:ind w:left="1200"/>
    </w:pPr>
    <w:rPr>
      <w:sz w:val="20"/>
      <w:szCs w:val="20"/>
    </w:rPr>
  </w:style>
  <w:style w:type="paragraph" w:styleId="TJ7">
    <w:name w:val="toc 7"/>
    <w:basedOn w:val="Norml"/>
    <w:next w:val="Norml"/>
    <w:autoRedefine/>
    <w:uiPriority w:val="39"/>
    <w:semiHidden/>
    <w:unhideWhenUsed/>
    <w:rsid w:val="009F258C"/>
    <w:pPr>
      <w:ind w:left="1440"/>
    </w:pPr>
    <w:rPr>
      <w:sz w:val="20"/>
      <w:szCs w:val="20"/>
    </w:rPr>
  </w:style>
  <w:style w:type="paragraph" w:styleId="TJ8">
    <w:name w:val="toc 8"/>
    <w:basedOn w:val="Norml"/>
    <w:next w:val="Norml"/>
    <w:autoRedefine/>
    <w:uiPriority w:val="39"/>
    <w:semiHidden/>
    <w:unhideWhenUsed/>
    <w:rsid w:val="009F258C"/>
    <w:pPr>
      <w:ind w:left="1680"/>
    </w:pPr>
    <w:rPr>
      <w:sz w:val="20"/>
      <w:szCs w:val="20"/>
    </w:rPr>
  </w:style>
  <w:style w:type="paragraph" w:styleId="TJ9">
    <w:name w:val="toc 9"/>
    <w:basedOn w:val="Norml"/>
    <w:next w:val="Norml"/>
    <w:autoRedefine/>
    <w:uiPriority w:val="39"/>
    <w:semiHidden/>
    <w:unhideWhenUsed/>
    <w:rsid w:val="009F258C"/>
    <w:pPr>
      <w:ind w:left="1920"/>
    </w:pPr>
    <w:rPr>
      <w:sz w:val="20"/>
      <w:szCs w:val="20"/>
    </w:rPr>
  </w:style>
  <w:style w:type="character" w:styleId="Oldalszm">
    <w:name w:val="page number"/>
    <w:basedOn w:val="Bekezdsalapbettpusa"/>
    <w:uiPriority w:val="99"/>
    <w:semiHidden/>
    <w:unhideWhenUsed/>
    <w:rsid w:val="00BB51D2"/>
  </w:style>
  <w:style w:type="character" w:styleId="Hiperhivatkozs">
    <w:name w:val="Hyperlink"/>
    <w:basedOn w:val="Bekezdsalapbettpusa"/>
    <w:uiPriority w:val="99"/>
    <w:unhideWhenUsed/>
    <w:rsid w:val="000C52F2"/>
    <w:rPr>
      <w:color w:val="467886" w:themeColor="hyperlink"/>
      <w:u w:val="single"/>
    </w:rPr>
  </w:style>
  <w:style w:type="character" w:customStyle="1" w:styleId="UnresolvedMention">
    <w:name w:val="Unresolved Mention"/>
    <w:basedOn w:val="Bekezdsalapbettpusa"/>
    <w:uiPriority w:val="99"/>
    <w:semiHidden/>
    <w:unhideWhenUsed/>
    <w:rsid w:val="000C52F2"/>
    <w:rPr>
      <w:color w:val="605E5C"/>
      <w:shd w:val="clear" w:color="auto" w:fill="E1DFDD"/>
    </w:rPr>
  </w:style>
  <w:style w:type="table" w:styleId="Rcsostblzat">
    <w:name w:val="Table Grid"/>
    <w:basedOn w:val="Normltblzat"/>
    <w:uiPriority w:val="39"/>
    <w:rsid w:val="00E35A2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iemels2">
    <w:name w:val="Strong"/>
    <w:qFormat/>
    <w:rsid w:val="0041202A"/>
    <w:rPr>
      <w:b/>
      <w:bCs/>
    </w:rPr>
  </w:style>
  <w:style w:type="paragraph" w:styleId="Szvegtrzs">
    <w:name w:val="Body Text"/>
    <w:basedOn w:val="Norml"/>
    <w:link w:val="SzvegtrzsChar"/>
    <w:rsid w:val="0041202A"/>
    <w:pPr>
      <w:suppressAutoHyphens/>
      <w:spacing w:after="140" w:line="288" w:lineRule="auto"/>
    </w:pPr>
    <w:rPr>
      <w:rFonts w:ascii="Calibri" w:eastAsia="Calibri" w:hAnsi="Calibri" w:cs="Calibri"/>
      <w:kern w:val="0"/>
      <w:sz w:val="22"/>
      <w:szCs w:val="22"/>
      <w:lang w:eastAsia="zh-CN"/>
    </w:rPr>
  </w:style>
  <w:style w:type="character" w:customStyle="1" w:styleId="SzvegtrzsChar">
    <w:name w:val="Szövegtörzs Char"/>
    <w:basedOn w:val="Bekezdsalapbettpusa"/>
    <w:link w:val="Szvegtrzs"/>
    <w:rsid w:val="0041202A"/>
    <w:rPr>
      <w:rFonts w:ascii="Calibri" w:eastAsia="Calibri" w:hAnsi="Calibri" w:cs="Calibri"/>
      <w:kern w:val="0"/>
      <w:sz w:val="22"/>
      <w:szCs w:val="22"/>
      <w:lang w:eastAsia="zh-CN"/>
    </w:rPr>
  </w:style>
  <w:style w:type="paragraph" w:styleId="Buborkszveg">
    <w:name w:val="Balloon Text"/>
    <w:basedOn w:val="Norml"/>
    <w:link w:val="BuborkszvegChar"/>
    <w:uiPriority w:val="99"/>
    <w:semiHidden/>
    <w:unhideWhenUsed/>
    <w:rsid w:val="00BB5E6F"/>
    <w:rPr>
      <w:rFonts w:ascii="Tahoma" w:hAnsi="Tahoma" w:cs="Tahoma"/>
      <w:sz w:val="16"/>
      <w:szCs w:val="16"/>
    </w:rPr>
  </w:style>
  <w:style w:type="character" w:customStyle="1" w:styleId="BuborkszvegChar">
    <w:name w:val="Buborékszöveg Char"/>
    <w:basedOn w:val="Bekezdsalapbettpusa"/>
    <w:link w:val="Buborkszveg"/>
    <w:uiPriority w:val="99"/>
    <w:semiHidden/>
    <w:rsid w:val="00BB5E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4984743">
      <w:bodyDiv w:val="1"/>
      <w:marLeft w:val="0"/>
      <w:marRight w:val="0"/>
      <w:marTop w:val="0"/>
      <w:marBottom w:val="0"/>
      <w:divBdr>
        <w:top w:val="none" w:sz="0" w:space="0" w:color="auto"/>
        <w:left w:val="none" w:sz="0" w:space="0" w:color="auto"/>
        <w:bottom w:val="none" w:sz="0" w:space="0" w:color="auto"/>
        <w:right w:val="none" w:sz="0" w:space="0" w:color="auto"/>
      </w:divBdr>
    </w:div>
    <w:div w:id="712921495">
      <w:bodyDiv w:val="1"/>
      <w:marLeft w:val="0"/>
      <w:marRight w:val="0"/>
      <w:marTop w:val="0"/>
      <w:marBottom w:val="0"/>
      <w:divBdr>
        <w:top w:val="none" w:sz="0" w:space="0" w:color="auto"/>
        <w:left w:val="none" w:sz="0" w:space="0" w:color="auto"/>
        <w:bottom w:val="none" w:sz="0" w:space="0" w:color="auto"/>
        <w:right w:val="none" w:sz="0" w:space="0" w:color="auto"/>
      </w:divBdr>
      <w:divsChild>
        <w:div w:id="1743218633">
          <w:marLeft w:val="0"/>
          <w:marRight w:val="0"/>
          <w:marTop w:val="0"/>
          <w:marBottom w:val="0"/>
          <w:divBdr>
            <w:top w:val="none" w:sz="0" w:space="0" w:color="auto"/>
            <w:left w:val="none" w:sz="0" w:space="0" w:color="auto"/>
            <w:bottom w:val="none" w:sz="0" w:space="0" w:color="auto"/>
            <w:right w:val="none" w:sz="0" w:space="0" w:color="auto"/>
          </w:divBdr>
          <w:divsChild>
            <w:div w:id="1163280935">
              <w:marLeft w:val="0"/>
              <w:marRight w:val="0"/>
              <w:marTop w:val="0"/>
              <w:marBottom w:val="0"/>
              <w:divBdr>
                <w:top w:val="none" w:sz="0" w:space="0" w:color="auto"/>
                <w:left w:val="none" w:sz="0" w:space="0" w:color="auto"/>
                <w:bottom w:val="none" w:sz="0" w:space="0" w:color="auto"/>
                <w:right w:val="none" w:sz="0" w:space="0" w:color="auto"/>
              </w:divBdr>
              <w:divsChild>
                <w:div w:id="154914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4298">
      <w:bodyDiv w:val="1"/>
      <w:marLeft w:val="0"/>
      <w:marRight w:val="0"/>
      <w:marTop w:val="0"/>
      <w:marBottom w:val="0"/>
      <w:divBdr>
        <w:top w:val="none" w:sz="0" w:space="0" w:color="auto"/>
        <w:left w:val="none" w:sz="0" w:space="0" w:color="auto"/>
        <w:bottom w:val="none" w:sz="0" w:space="0" w:color="auto"/>
        <w:right w:val="none" w:sz="0" w:space="0" w:color="auto"/>
      </w:divBdr>
      <w:divsChild>
        <w:div w:id="477185443">
          <w:marLeft w:val="0"/>
          <w:marRight w:val="0"/>
          <w:marTop w:val="0"/>
          <w:marBottom w:val="0"/>
          <w:divBdr>
            <w:top w:val="none" w:sz="0" w:space="0" w:color="auto"/>
            <w:left w:val="none" w:sz="0" w:space="0" w:color="auto"/>
            <w:bottom w:val="none" w:sz="0" w:space="0" w:color="auto"/>
            <w:right w:val="none" w:sz="0" w:space="0" w:color="auto"/>
          </w:divBdr>
          <w:divsChild>
            <w:div w:id="1110704989">
              <w:marLeft w:val="0"/>
              <w:marRight w:val="0"/>
              <w:marTop w:val="0"/>
              <w:marBottom w:val="0"/>
              <w:divBdr>
                <w:top w:val="none" w:sz="0" w:space="0" w:color="auto"/>
                <w:left w:val="none" w:sz="0" w:space="0" w:color="auto"/>
                <w:bottom w:val="none" w:sz="0" w:space="0" w:color="auto"/>
                <w:right w:val="none" w:sz="0" w:space="0" w:color="auto"/>
              </w:divBdr>
              <w:divsChild>
                <w:div w:id="2000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330662">
      <w:bodyDiv w:val="1"/>
      <w:marLeft w:val="0"/>
      <w:marRight w:val="0"/>
      <w:marTop w:val="0"/>
      <w:marBottom w:val="0"/>
      <w:divBdr>
        <w:top w:val="none" w:sz="0" w:space="0" w:color="auto"/>
        <w:left w:val="none" w:sz="0" w:space="0" w:color="auto"/>
        <w:bottom w:val="none" w:sz="0" w:space="0" w:color="auto"/>
        <w:right w:val="none" w:sz="0" w:space="0" w:color="auto"/>
      </w:divBdr>
    </w:div>
    <w:div w:id="1498418885">
      <w:bodyDiv w:val="1"/>
      <w:marLeft w:val="0"/>
      <w:marRight w:val="0"/>
      <w:marTop w:val="0"/>
      <w:marBottom w:val="0"/>
      <w:divBdr>
        <w:top w:val="none" w:sz="0" w:space="0" w:color="auto"/>
        <w:left w:val="none" w:sz="0" w:space="0" w:color="auto"/>
        <w:bottom w:val="none" w:sz="0" w:space="0" w:color="auto"/>
        <w:right w:val="none" w:sz="0" w:space="0" w:color="auto"/>
      </w:divBdr>
    </w:div>
    <w:div w:id="1601789107">
      <w:bodyDiv w:val="1"/>
      <w:marLeft w:val="0"/>
      <w:marRight w:val="0"/>
      <w:marTop w:val="0"/>
      <w:marBottom w:val="0"/>
      <w:divBdr>
        <w:top w:val="none" w:sz="0" w:space="0" w:color="auto"/>
        <w:left w:val="none" w:sz="0" w:space="0" w:color="auto"/>
        <w:bottom w:val="none" w:sz="0" w:space="0" w:color="auto"/>
        <w:right w:val="none" w:sz="0" w:space="0" w:color="auto"/>
      </w:divBdr>
    </w:div>
    <w:div w:id="1762139272">
      <w:bodyDiv w:val="1"/>
      <w:marLeft w:val="0"/>
      <w:marRight w:val="0"/>
      <w:marTop w:val="0"/>
      <w:marBottom w:val="0"/>
      <w:divBdr>
        <w:top w:val="none" w:sz="0" w:space="0" w:color="auto"/>
        <w:left w:val="none" w:sz="0" w:space="0" w:color="auto"/>
        <w:bottom w:val="none" w:sz="0" w:space="0" w:color="auto"/>
        <w:right w:val="none" w:sz="0" w:space="0" w:color="auto"/>
      </w:divBdr>
    </w:div>
    <w:div w:id="1772623605">
      <w:bodyDiv w:val="1"/>
      <w:marLeft w:val="0"/>
      <w:marRight w:val="0"/>
      <w:marTop w:val="0"/>
      <w:marBottom w:val="0"/>
      <w:divBdr>
        <w:top w:val="none" w:sz="0" w:space="0" w:color="auto"/>
        <w:left w:val="none" w:sz="0" w:space="0" w:color="auto"/>
        <w:bottom w:val="none" w:sz="0" w:space="0" w:color="auto"/>
        <w:right w:val="none" w:sz="0" w:space="0" w:color="auto"/>
      </w:divBdr>
    </w:div>
    <w:div w:id="1822187096">
      <w:bodyDiv w:val="1"/>
      <w:marLeft w:val="0"/>
      <w:marRight w:val="0"/>
      <w:marTop w:val="0"/>
      <w:marBottom w:val="0"/>
      <w:divBdr>
        <w:top w:val="none" w:sz="0" w:space="0" w:color="auto"/>
        <w:left w:val="none" w:sz="0" w:space="0" w:color="auto"/>
        <w:bottom w:val="none" w:sz="0" w:space="0" w:color="auto"/>
        <w:right w:val="none" w:sz="0" w:space="0" w:color="auto"/>
      </w:divBdr>
    </w:div>
    <w:div w:id="1831944805">
      <w:bodyDiv w:val="1"/>
      <w:marLeft w:val="0"/>
      <w:marRight w:val="0"/>
      <w:marTop w:val="0"/>
      <w:marBottom w:val="0"/>
      <w:divBdr>
        <w:top w:val="none" w:sz="0" w:space="0" w:color="auto"/>
        <w:left w:val="none" w:sz="0" w:space="0" w:color="auto"/>
        <w:bottom w:val="none" w:sz="0" w:space="0" w:color="auto"/>
        <w:right w:val="none" w:sz="0" w:space="0" w:color="auto"/>
      </w:divBdr>
    </w:div>
    <w:div w:id="1863660926">
      <w:bodyDiv w:val="1"/>
      <w:marLeft w:val="0"/>
      <w:marRight w:val="0"/>
      <w:marTop w:val="0"/>
      <w:marBottom w:val="0"/>
      <w:divBdr>
        <w:top w:val="none" w:sz="0" w:space="0" w:color="auto"/>
        <w:left w:val="none" w:sz="0" w:space="0" w:color="auto"/>
        <w:bottom w:val="none" w:sz="0" w:space="0" w:color="auto"/>
        <w:right w:val="none" w:sz="0" w:space="0" w:color="auto"/>
      </w:divBdr>
    </w:div>
    <w:div w:id="189372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igpannonia.hu/biztositasok/befektetes/esszencia"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2FFB3-B4F8-4B27-ACEE-A09D0B25A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11</Pages>
  <Words>3020</Words>
  <Characters>20840</Characters>
  <Application>Microsoft Office Word</Application>
  <DocSecurity>0</DocSecurity>
  <Lines>173</Lines>
  <Paragraphs>47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Gräf Richárd</dc:creator>
  <cp:keywords/>
  <dc:description/>
  <cp:lastModifiedBy>GranBroker</cp:lastModifiedBy>
  <cp:revision>278</cp:revision>
  <dcterms:created xsi:type="dcterms:W3CDTF">2024-08-07T12:21:00Z</dcterms:created>
  <dcterms:modified xsi:type="dcterms:W3CDTF">2026-06-12T09:02:00Z</dcterms:modified>
</cp:coreProperties>
</file>